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tl/>
              </w:rPr>
              <w:t xml:space="preserve"> </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562EB5" w:rsidRDefault="00A835E6" w:rsidP="00A835E6">
                <w:pPr>
                  <w:suppressLineNumbers/>
                  <w:rPr>
                    <w:rFonts w:ascii="Arial" w:hAnsi="Arial"/>
                    <w:b/>
                    <w:bCs/>
                    <w:noProof w:val="0"/>
                    <w:sz w:val="26"/>
                    <w:szCs w:val="26"/>
                    <w:rtl/>
                  </w:rPr>
                </w:pPr>
                <w:r>
                  <w:rPr>
                    <w:rFonts w:ascii="Arial" w:hAnsi="Arial" w:hint="cs"/>
                    <w:b/>
                    <w:bCs/>
                    <w:noProof w:val="0"/>
                    <w:sz w:val="26"/>
                    <w:szCs w:val="26"/>
                    <w:rtl/>
                  </w:rPr>
                  <w:t>התובעת</w:t>
                </w:r>
              </w:p>
            </w:sdtContent>
          </w:sdt>
        </w:tc>
        <w:tc>
          <w:tcPr>
            <w:tcW w:w="5571" w:type="dxa"/>
          </w:tcPr>
          <w:p w:rsidR="0094424E" w:rsidRDefault="00283E2A"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F74D63" w:rsidRDefault="00F74D63" w:rsidP="00897DAF">
            <w:pPr>
              <w:suppressLineNumbers/>
              <w:rPr>
                <w:b/>
                <w:bCs/>
                <w:noProof w:val="0"/>
                <w:sz w:val="26"/>
                <w:szCs w:val="26"/>
              </w:rPr>
            </w:pPr>
            <w:r>
              <w:rPr>
                <w:rFonts w:hint="cs"/>
                <w:b/>
                <w:bCs/>
                <w:noProof w:val="0"/>
                <w:sz w:val="26"/>
                <w:szCs w:val="26"/>
                <w:rtl/>
              </w:rPr>
              <w:t>באמצעות ב"כ עו"ד אילן חיימוביץ</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024F6" w:rsidP="00A835E6">
            <w:pPr>
              <w:suppressLineNumbers/>
              <w:rPr>
                <w:rFonts w:ascii="Arial" w:hAnsi="Arial"/>
                <w:b/>
                <w:bCs/>
                <w:noProof w:val="0"/>
                <w:sz w:val="26"/>
                <w:szCs w:val="26"/>
              </w:rPr>
            </w:pPr>
            <w:sdt>
              <w:sdtPr>
                <w:rPr>
                  <w:rtl/>
                </w:rPr>
                <w:alias w:val="1184"/>
                <w:tag w:val="1184"/>
                <w:id w:val="-340621022"/>
                <w:text w:multiLine="1"/>
              </w:sdtPr>
              <w:sdtEndPr/>
              <w:sdtContent>
                <w:r w:rsidR="00A835E6">
                  <w:rPr>
                    <w:rFonts w:ascii="Arial" w:hAnsi="Arial" w:hint="cs"/>
                    <w:b/>
                    <w:bCs/>
                    <w:noProof w:val="0"/>
                    <w:sz w:val="26"/>
                    <w:szCs w:val="26"/>
                    <w:rtl/>
                  </w:rPr>
                  <w:t>הנתבע</w:t>
                </w:r>
              </w:sdtContent>
            </w:sdt>
          </w:p>
        </w:tc>
        <w:tc>
          <w:tcPr>
            <w:tcW w:w="5571" w:type="dxa"/>
          </w:tcPr>
          <w:p w:rsidR="0094424E" w:rsidRDefault="00283E2A" w:rsidP="00283E2A">
            <w:pPr>
              <w:suppressLineNumbers/>
              <w:rPr>
                <w:rFonts w:ascii="Arial" w:hAnsi="Arial"/>
                <w:b/>
                <w:bCs/>
                <w:noProof w:val="0"/>
                <w:sz w:val="26"/>
                <w:szCs w:val="26"/>
                <w:rtl/>
              </w:rPr>
            </w:pPr>
            <w:r>
              <w:rPr>
                <w:rFonts w:ascii="Arial" w:hAnsi="Arial" w:hint="cs"/>
                <w:b/>
                <w:bCs/>
                <w:noProof w:val="0"/>
                <w:sz w:val="26"/>
                <w:szCs w:val="26"/>
                <w:rtl/>
              </w:rPr>
              <w:t>פלוני</w:t>
            </w:r>
            <w:r w:rsidR="00E54CD9">
              <w:rPr>
                <w:rFonts w:hint="cs"/>
                <w:rtl/>
              </w:rPr>
              <w:t xml:space="preserve"> </w:t>
            </w:r>
            <w:r w:rsidR="00064651">
              <w:rPr>
                <w:rFonts w:ascii="Arial" w:hAnsi="Arial" w:hint="eastAsia"/>
                <w:b/>
                <w:bCs/>
                <w:noProof w:val="0"/>
                <w:sz w:val="26"/>
                <w:szCs w:val="26"/>
                <w:rtl/>
              </w:rPr>
              <w:t>דרכון</w:t>
            </w:r>
            <w:r w:rsidR="00F74D63">
              <w:rPr>
                <w:rFonts w:ascii="Arial" w:hAnsi="Arial" w:hint="cs"/>
                <w:b/>
                <w:bCs/>
                <w:noProof w:val="0"/>
                <w:sz w:val="26"/>
                <w:szCs w:val="26"/>
                <w:rtl/>
              </w:rPr>
              <w:t xml:space="preserve"> אמריקאי</w:t>
            </w:r>
            <w:r w:rsidR="00E54CD9" w:rsidRPr="00E54CD9">
              <w:rPr>
                <w:rFonts w:ascii="Arial" w:hAnsi="Arial" w:hint="cs"/>
                <w:b/>
                <w:bCs/>
                <w:noProof w:val="0"/>
                <w:sz w:val="26"/>
                <w:szCs w:val="26"/>
                <w:rtl/>
              </w:rPr>
              <w:t xml:space="preserve"> </w:t>
            </w:r>
            <w:r>
              <w:rPr>
                <w:rFonts w:ascii="Arial" w:hAnsi="Arial" w:hint="cs"/>
                <w:b/>
                <w:bCs/>
                <w:noProof w:val="0"/>
                <w:sz w:val="26"/>
                <w:szCs w:val="26"/>
                <w:rtl/>
              </w:rPr>
              <w:t>******</w:t>
            </w:r>
          </w:p>
          <w:p w:rsidR="00F74D63" w:rsidRDefault="00F74D63" w:rsidP="00897DAF">
            <w:pPr>
              <w:suppressLineNumbers/>
              <w:rPr>
                <w:rFonts w:ascii="Arial" w:hAnsi="Arial"/>
                <w:b/>
                <w:bCs/>
                <w:noProof w:val="0"/>
                <w:sz w:val="26"/>
                <w:szCs w:val="26"/>
                <w:rtl/>
              </w:rPr>
            </w:pPr>
            <w:r>
              <w:rPr>
                <w:rFonts w:ascii="Arial" w:hAnsi="Arial" w:hint="cs"/>
                <w:b/>
                <w:bCs/>
                <w:noProof w:val="0"/>
                <w:sz w:val="26"/>
                <w:szCs w:val="26"/>
                <w:rtl/>
              </w:rPr>
              <w:t>באמצעות ב"כ עו"ד חמדה בנימיני</w:t>
            </w:r>
          </w:p>
          <w:p w:rsidR="00F74D63" w:rsidRPr="00E54CD9" w:rsidRDefault="00F74D63" w:rsidP="00897DAF">
            <w:pPr>
              <w:suppressLineNumbers/>
              <w:rPr>
                <w:rFonts w:ascii="Arial" w:hAnsi="Arial"/>
                <w:b/>
                <w:bCs/>
                <w:noProof w:val="0"/>
                <w:sz w:val="26"/>
                <w:szCs w:val="26"/>
                <w:rtl/>
              </w:rPr>
            </w:pP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7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42"/>
      </w:tblGrid>
      <w:tr w:rsidR="00694556" w:rsidRPr="00DE1E7D" w:rsidTr="000943F2">
        <w:trPr>
          <w:trHeight w:val="271"/>
          <w:jc w:val="center"/>
        </w:trPr>
        <w:tc>
          <w:tcPr>
            <w:tcW w:w="8742"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r w:rsidR="00FE04E1">
              <w:rPr>
                <w:rFonts w:ascii="Arial" w:hAnsi="Arial" w:hint="cs"/>
                <w:b/>
                <w:bCs/>
                <w:noProof w:val="0"/>
                <w:sz w:val="28"/>
                <w:szCs w:val="28"/>
                <w:u w:val="single"/>
                <w:rtl/>
              </w:rPr>
              <w:t xml:space="preserve"> בענין סמכות מקומית</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694556" w:rsidRDefault="00A835E6" w:rsidP="00F33765">
      <w:pPr>
        <w:pStyle w:val="ad"/>
        <w:numPr>
          <w:ilvl w:val="0"/>
          <w:numId w:val="1"/>
        </w:numPr>
        <w:spacing w:line="360" w:lineRule="auto"/>
        <w:jc w:val="both"/>
        <w:rPr>
          <w:rFonts w:ascii="Arial" w:hAnsi="Arial"/>
          <w:noProof w:val="0"/>
        </w:rPr>
      </w:pPr>
      <w:r>
        <w:rPr>
          <w:rFonts w:ascii="Arial" w:hAnsi="Arial" w:hint="cs"/>
          <w:noProof w:val="0"/>
          <w:rtl/>
        </w:rPr>
        <w:t xml:space="preserve">שלושת התביעות שבכותרת מתנהלות בעניינם של </w:t>
      </w:r>
      <w:r w:rsidR="00F33765">
        <w:rPr>
          <w:rFonts w:ascii="Arial" w:hAnsi="Arial" w:hint="cs"/>
          <w:noProof w:val="0"/>
          <w:rtl/>
        </w:rPr>
        <w:t>ה</w:t>
      </w:r>
      <w:r>
        <w:rPr>
          <w:rFonts w:ascii="Arial" w:hAnsi="Arial" w:hint="cs"/>
          <w:noProof w:val="0"/>
          <w:rtl/>
        </w:rPr>
        <w:t>צדדים</w:t>
      </w:r>
      <w:r w:rsidR="00F33765">
        <w:rPr>
          <w:rFonts w:ascii="Arial" w:hAnsi="Arial" w:hint="cs"/>
          <w:noProof w:val="0"/>
          <w:rtl/>
        </w:rPr>
        <w:t>,</w:t>
      </w:r>
      <w:r>
        <w:rPr>
          <w:rFonts w:ascii="Arial" w:hAnsi="Arial" w:hint="cs"/>
          <w:noProof w:val="0"/>
          <w:rtl/>
        </w:rPr>
        <w:t xml:space="preserve"> כאשר שתיים מהן הוגשו בבית משפט </w:t>
      </w:r>
      <w:r w:rsidR="00F33765">
        <w:rPr>
          <w:rFonts w:ascii="Arial" w:hAnsi="Arial" w:hint="cs"/>
          <w:noProof w:val="0"/>
          <w:rtl/>
        </w:rPr>
        <w:t>לענייני משפחה בבאר שבע</w:t>
      </w:r>
      <w:r>
        <w:rPr>
          <w:rFonts w:ascii="Arial" w:hAnsi="Arial" w:hint="cs"/>
          <w:noProof w:val="0"/>
          <w:rtl/>
        </w:rPr>
        <w:t xml:space="preserve"> בחודש דצמבר 2023 ו</w:t>
      </w:r>
      <w:r w:rsidR="00F33765">
        <w:rPr>
          <w:rFonts w:ascii="Arial" w:hAnsi="Arial" w:hint="cs"/>
          <w:noProof w:val="0"/>
          <w:rtl/>
        </w:rPr>
        <w:t>שלישי</w:t>
      </w:r>
      <w:r>
        <w:rPr>
          <w:rFonts w:ascii="Arial" w:hAnsi="Arial" w:hint="cs"/>
          <w:noProof w:val="0"/>
          <w:rtl/>
        </w:rPr>
        <w:t xml:space="preserve">ת הוגשה בבית משפט לענייני משפחה בפתח תקווה בחודש מרץ 2024. </w:t>
      </w:r>
    </w:p>
    <w:p w:rsidR="00F74D63" w:rsidRDefault="00F74D63" w:rsidP="00A835E6">
      <w:pPr>
        <w:pStyle w:val="ad"/>
        <w:numPr>
          <w:ilvl w:val="0"/>
          <w:numId w:val="1"/>
        </w:numPr>
        <w:spacing w:line="360" w:lineRule="auto"/>
        <w:jc w:val="both"/>
        <w:rPr>
          <w:rFonts w:ascii="Arial" w:hAnsi="Arial"/>
          <w:noProof w:val="0"/>
        </w:rPr>
      </w:pPr>
      <w:r>
        <w:rPr>
          <w:rFonts w:ascii="Arial" w:hAnsi="Arial" w:hint="cs"/>
          <w:noProof w:val="0"/>
          <w:rtl/>
        </w:rPr>
        <w:t>בכותרת שתי התביעות אשר הוגשו בחודש דצמבר 2023 לבימ"ש זה</w:t>
      </w:r>
      <w:r w:rsidR="00F33765">
        <w:rPr>
          <w:rFonts w:ascii="Arial" w:hAnsi="Arial" w:hint="cs"/>
          <w:noProof w:val="0"/>
          <w:rtl/>
        </w:rPr>
        <w:t>,</w:t>
      </w:r>
      <w:r>
        <w:rPr>
          <w:rFonts w:ascii="Arial" w:hAnsi="Arial" w:hint="cs"/>
          <w:noProof w:val="0"/>
          <w:rtl/>
        </w:rPr>
        <w:t xml:space="preserve"> לא צוינה כתובת התובעת וצוין אך ורק כי "</w:t>
      </w:r>
      <w:r w:rsidR="00FE04E1">
        <w:rPr>
          <w:rFonts w:ascii="Arial" w:hAnsi="Arial" w:hint="cs"/>
          <w:noProof w:val="0"/>
          <w:rtl/>
        </w:rPr>
        <w:t>יצאה ממק</w:t>
      </w:r>
      <w:r>
        <w:rPr>
          <w:rFonts w:ascii="Arial" w:hAnsi="Arial" w:hint="cs"/>
          <w:noProof w:val="0"/>
          <w:rtl/>
        </w:rPr>
        <w:t>לט לנשים מוכות". צוין כי התובעת "תושבת חוזרת" מארה"ב לאחר שהצדדים התגוררו 17 שנים בארה"ב.</w:t>
      </w:r>
      <w:r w:rsidR="00FE04E1">
        <w:rPr>
          <w:rFonts w:ascii="Arial" w:hAnsi="Arial" w:hint="cs"/>
          <w:noProof w:val="0"/>
          <w:rtl/>
        </w:rPr>
        <w:t xml:space="preserve"> </w:t>
      </w:r>
    </w:p>
    <w:p w:rsidR="00A835E6" w:rsidRDefault="00F33765" w:rsidP="000943F2">
      <w:pPr>
        <w:pStyle w:val="ad"/>
        <w:numPr>
          <w:ilvl w:val="0"/>
          <w:numId w:val="1"/>
        </w:numPr>
        <w:spacing w:line="360" w:lineRule="auto"/>
        <w:jc w:val="both"/>
        <w:rPr>
          <w:rFonts w:ascii="Arial" w:hAnsi="Arial"/>
          <w:noProof w:val="0"/>
        </w:rPr>
      </w:pPr>
      <w:r>
        <w:rPr>
          <w:rFonts w:ascii="Arial" w:hAnsi="Arial" w:hint="cs"/>
          <w:noProof w:val="0"/>
          <w:rtl/>
        </w:rPr>
        <w:t xml:space="preserve">אין מחלוקת כי </w:t>
      </w:r>
      <w:r w:rsidR="00A835E6">
        <w:rPr>
          <w:rFonts w:ascii="Arial" w:hAnsi="Arial" w:hint="cs"/>
          <w:noProof w:val="0"/>
          <w:rtl/>
        </w:rPr>
        <w:t>הצדדים מעולם לא התגוררו יחד כמקום מגורים משותף בשטח השיפוט של בית משפט זה</w:t>
      </w:r>
      <w:r>
        <w:rPr>
          <w:rFonts w:ascii="Arial" w:hAnsi="Arial" w:hint="cs"/>
          <w:noProof w:val="0"/>
          <w:rtl/>
        </w:rPr>
        <w:t>.</w:t>
      </w:r>
      <w:r w:rsidR="00A835E6">
        <w:rPr>
          <w:rFonts w:ascii="Arial" w:hAnsi="Arial" w:hint="cs"/>
          <w:noProof w:val="0"/>
          <w:rtl/>
        </w:rPr>
        <w:t xml:space="preserve"> התובעת הגישה התביעה בבית משפט זה </w:t>
      </w:r>
      <w:r w:rsidR="00FE04E1">
        <w:rPr>
          <w:rFonts w:ascii="Arial" w:hAnsi="Arial" w:hint="cs"/>
          <w:noProof w:val="0"/>
          <w:rtl/>
        </w:rPr>
        <w:t xml:space="preserve">לאחר שלדבריה </w:t>
      </w:r>
      <w:r w:rsidR="00A835E6">
        <w:rPr>
          <w:rFonts w:ascii="Arial" w:hAnsi="Arial" w:hint="cs"/>
          <w:noProof w:val="0"/>
          <w:rtl/>
        </w:rPr>
        <w:t>שהתה במקלט לנשים מוכות באזור הדרום</w:t>
      </w:r>
      <w:r w:rsidR="00FE04E1">
        <w:rPr>
          <w:rFonts w:ascii="Arial" w:hAnsi="Arial" w:hint="cs"/>
          <w:noProof w:val="0"/>
          <w:rtl/>
        </w:rPr>
        <w:t xml:space="preserve"> ואולם כתובת מגוריה  במועד הגשת כתב התביעה הוגדר</w:t>
      </w:r>
      <w:r>
        <w:rPr>
          <w:rFonts w:ascii="Arial" w:hAnsi="Arial" w:hint="cs"/>
          <w:noProof w:val="0"/>
          <w:rtl/>
        </w:rPr>
        <w:t>ה</w:t>
      </w:r>
      <w:r w:rsidR="00FE04E1">
        <w:rPr>
          <w:rFonts w:ascii="Arial" w:hAnsi="Arial" w:hint="cs"/>
          <w:noProof w:val="0"/>
          <w:rtl/>
        </w:rPr>
        <w:t xml:space="preserve"> על ידה כחסוי</w:t>
      </w:r>
      <w:r>
        <w:rPr>
          <w:rFonts w:ascii="Arial" w:hAnsi="Arial" w:hint="cs"/>
          <w:noProof w:val="0"/>
          <w:rtl/>
        </w:rPr>
        <w:t>ה</w:t>
      </w:r>
      <w:r w:rsidR="00FE04E1">
        <w:rPr>
          <w:rFonts w:ascii="Arial" w:hAnsi="Arial" w:hint="cs"/>
          <w:noProof w:val="0"/>
          <w:rtl/>
        </w:rPr>
        <w:t xml:space="preserve"> בשל רצונה שהנתבע לא יאתר את מקום מגוריה</w:t>
      </w:r>
      <w:r w:rsidR="00A835E6">
        <w:rPr>
          <w:rFonts w:ascii="Arial" w:hAnsi="Arial" w:hint="cs"/>
          <w:noProof w:val="0"/>
          <w:rtl/>
        </w:rPr>
        <w:t xml:space="preserve">. </w:t>
      </w:r>
    </w:p>
    <w:p w:rsidR="00A835E6" w:rsidRDefault="00F33765" w:rsidP="00283E2A">
      <w:pPr>
        <w:pStyle w:val="ad"/>
        <w:numPr>
          <w:ilvl w:val="0"/>
          <w:numId w:val="1"/>
        </w:numPr>
        <w:spacing w:line="360" w:lineRule="auto"/>
        <w:jc w:val="both"/>
        <w:rPr>
          <w:rFonts w:ascii="Arial" w:hAnsi="Arial"/>
          <w:noProof w:val="0"/>
        </w:rPr>
      </w:pPr>
      <w:r>
        <w:rPr>
          <w:rFonts w:ascii="Arial" w:hAnsi="Arial" w:hint="cs"/>
          <w:noProof w:val="0"/>
          <w:rtl/>
        </w:rPr>
        <w:t xml:space="preserve">עפ"י </w:t>
      </w:r>
      <w:r w:rsidR="00A835E6">
        <w:rPr>
          <w:rFonts w:ascii="Arial" w:hAnsi="Arial" w:hint="cs"/>
          <w:noProof w:val="0"/>
          <w:rtl/>
        </w:rPr>
        <w:t>הוראת הרשות המרכזית של מדינת ישראל</w:t>
      </w:r>
      <w:r>
        <w:rPr>
          <w:rFonts w:ascii="Arial" w:hAnsi="Arial" w:hint="cs"/>
          <w:noProof w:val="0"/>
          <w:rtl/>
        </w:rPr>
        <w:t xml:space="preserve">, שתי התובענות בתלה"מ 19283-12-23 ובתלה"מ 17610-12-23 , שהוגשו </w:t>
      </w:r>
      <w:r w:rsidR="000943F2">
        <w:rPr>
          <w:rFonts w:ascii="Arial" w:hAnsi="Arial" w:hint="cs"/>
          <w:noProof w:val="0"/>
          <w:rtl/>
        </w:rPr>
        <w:t>לכ</w:t>
      </w:r>
      <w:r>
        <w:rPr>
          <w:rFonts w:ascii="Arial" w:hAnsi="Arial" w:hint="cs"/>
          <w:noProof w:val="0"/>
          <w:rtl/>
        </w:rPr>
        <w:t>תחילה בבית משפט זה</w:t>
      </w:r>
      <w:r w:rsidR="00422769">
        <w:rPr>
          <w:rFonts w:ascii="Arial" w:hAnsi="Arial" w:hint="cs"/>
          <w:noProof w:val="0"/>
          <w:rtl/>
        </w:rPr>
        <w:t>,</w:t>
      </w:r>
      <w:r>
        <w:rPr>
          <w:rFonts w:ascii="Arial" w:hAnsi="Arial" w:hint="cs"/>
          <w:noProof w:val="0"/>
          <w:rtl/>
        </w:rPr>
        <w:t xml:space="preserve"> תלויות ועומדות,  ההליכים הוקפאו וקדם המשפט שנקבע בוטל</w:t>
      </w:r>
      <w:r w:rsidR="00422769">
        <w:rPr>
          <w:rFonts w:ascii="Arial" w:hAnsi="Arial" w:hint="cs"/>
          <w:noProof w:val="0"/>
          <w:rtl/>
        </w:rPr>
        <w:t>.</w:t>
      </w:r>
      <w:r>
        <w:rPr>
          <w:rFonts w:ascii="Arial" w:hAnsi="Arial" w:hint="cs"/>
          <w:noProof w:val="0"/>
          <w:rtl/>
        </w:rPr>
        <w:t xml:space="preserve"> </w:t>
      </w:r>
      <w:r w:rsidR="00A835E6">
        <w:rPr>
          <w:rFonts w:ascii="Arial" w:hAnsi="Arial" w:hint="cs"/>
          <w:noProof w:val="0"/>
          <w:rtl/>
        </w:rPr>
        <w:t>התברר שבבית המשפט בניו יורק</w:t>
      </w:r>
      <w:r>
        <w:rPr>
          <w:rFonts w:ascii="Arial" w:hAnsi="Arial" w:hint="cs"/>
          <w:noProof w:val="0"/>
          <w:rtl/>
        </w:rPr>
        <w:t>, ארה"ב</w:t>
      </w:r>
      <w:r w:rsidR="00A835E6">
        <w:rPr>
          <w:rFonts w:ascii="Arial" w:hAnsi="Arial" w:hint="cs"/>
          <w:noProof w:val="0"/>
          <w:rtl/>
        </w:rPr>
        <w:t xml:space="preserve">, הוגשו תביעות בעניין משמורת הנוגעות לקטינים </w:t>
      </w:r>
      <w:r w:rsidR="00A835E6">
        <w:rPr>
          <w:rFonts w:ascii="Arial" w:hAnsi="Arial"/>
          <w:noProof w:val="0"/>
          <w:rtl/>
        </w:rPr>
        <w:t>–</w:t>
      </w:r>
      <w:r w:rsidR="00A835E6">
        <w:rPr>
          <w:rFonts w:ascii="Arial" w:hAnsi="Arial" w:hint="cs"/>
          <w:noProof w:val="0"/>
          <w:rtl/>
        </w:rPr>
        <w:t xml:space="preserve"> ילדיהם של הצדדים</w:t>
      </w:r>
      <w:r>
        <w:rPr>
          <w:rFonts w:ascii="Arial" w:hAnsi="Arial" w:hint="cs"/>
          <w:noProof w:val="0"/>
          <w:rtl/>
        </w:rPr>
        <w:t xml:space="preserve"> ויש להמתין להכרעתו בשאלת הסמכות</w:t>
      </w:r>
      <w:r w:rsidR="00A835E6">
        <w:rPr>
          <w:rFonts w:ascii="Arial" w:hAnsi="Arial" w:hint="cs"/>
          <w:noProof w:val="0"/>
          <w:rtl/>
        </w:rPr>
        <w:t xml:space="preserve">. </w:t>
      </w:r>
    </w:p>
    <w:p w:rsidR="00A835E6" w:rsidRDefault="00A835E6" w:rsidP="00A835E6">
      <w:pPr>
        <w:pStyle w:val="ad"/>
        <w:numPr>
          <w:ilvl w:val="0"/>
          <w:numId w:val="1"/>
        </w:numPr>
        <w:spacing w:line="360" w:lineRule="auto"/>
        <w:jc w:val="both"/>
        <w:rPr>
          <w:rFonts w:ascii="Arial" w:hAnsi="Arial"/>
          <w:noProof w:val="0"/>
        </w:rPr>
      </w:pPr>
      <w:r>
        <w:rPr>
          <w:rFonts w:ascii="Arial" w:hAnsi="Arial" w:hint="cs"/>
          <w:noProof w:val="0"/>
          <w:rtl/>
        </w:rPr>
        <w:t xml:space="preserve">יובהר כי </w:t>
      </w:r>
      <w:r w:rsidR="00F33765">
        <w:rPr>
          <w:rFonts w:ascii="Arial" w:hAnsi="Arial" w:hint="cs"/>
          <w:noProof w:val="0"/>
          <w:rtl/>
        </w:rPr>
        <w:t>בכל מקרה</w:t>
      </w:r>
      <w:r w:rsidR="00422769">
        <w:rPr>
          <w:rFonts w:ascii="Arial" w:hAnsi="Arial" w:hint="cs"/>
          <w:noProof w:val="0"/>
          <w:rtl/>
        </w:rPr>
        <w:t>,</w:t>
      </w:r>
      <w:r w:rsidR="00F33765">
        <w:rPr>
          <w:rFonts w:ascii="Arial" w:hAnsi="Arial" w:hint="cs"/>
          <w:noProof w:val="0"/>
          <w:rtl/>
        </w:rPr>
        <w:t xml:space="preserve"> גם </w:t>
      </w:r>
      <w:r>
        <w:rPr>
          <w:rFonts w:ascii="Arial" w:hAnsi="Arial" w:hint="cs"/>
          <w:noProof w:val="0"/>
          <w:rtl/>
        </w:rPr>
        <w:t xml:space="preserve">ממועד פתיחת ההליכים בבית משפט זה ועד למועד הקפאתם נוכח הוראת הרשות המרכזית של מדינת ישראל </w:t>
      </w:r>
      <w:r w:rsidRPr="000943F2">
        <w:rPr>
          <w:rFonts w:ascii="Arial" w:hAnsi="Arial" w:hint="cs"/>
          <w:noProof w:val="0"/>
          <w:u w:val="single"/>
          <w:rtl/>
        </w:rPr>
        <w:t>לא ניתנה כל החלטה מהותית בתיקים</w:t>
      </w:r>
      <w:r>
        <w:rPr>
          <w:rFonts w:ascii="Arial" w:hAnsi="Arial" w:hint="cs"/>
          <w:noProof w:val="0"/>
          <w:rtl/>
        </w:rPr>
        <w:t xml:space="preserve">. הצדדים אינם מוכרים לבית המשפט ולא התקיים כל דיון בעניינם. </w:t>
      </w:r>
    </w:p>
    <w:p w:rsidR="00A86FF0" w:rsidRDefault="00F33765" w:rsidP="00A86FF0">
      <w:pPr>
        <w:pStyle w:val="ad"/>
        <w:numPr>
          <w:ilvl w:val="0"/>
          <w:numId w:val="1"/>
        </w:numPr>
        <w:spacing w:line="360" w:lineRule="auto"/>
        <w:jc w:val="both"/>
        <w:rPr>
          <w:rFonts w:ascii="Arial" w:hAnsi="Arial"/>
          <w:noProof w:val="0"/>
        </w:rPr>
      </w:pPr>
      <w:r>
        <w:rPr>
          <w:rFonts w:ascii="Arial" w:hAnsi="Arial" w:hint="cs"/>
          <w:noProof w:val="0"/>
          <w:rtl/>
        </w:rPr>
        <w:t xml:space="preserve">לאחר הקפאת ההליכים בבימ"ש זה, </w:t>
      </w:r>
      <w:r w:rsidR="00A86FF0">
        <w:rPr>
          <w:rFonts w:ascii="Arial" w:hAnsi="Arial" w:hint="cs"/>
          <w:noProof w:val="0"/>
          <w:rtl/>
        </w:rPr>
        <w:t xml:space="preserve">בחודש מרץ 2024 הגיש הנתבע, אביהם של הקטינים, תביעה בבית משפט לענייני משפחה בפתח תקווה בתמ"ש 56895-03-24 וזאת בעניין החזרת הקטינים לארצות הברית. </w:t>
      </w:r>
    </w:p>
    <w:p w:rsidR="00A86FF0" w:rsidRDefault="00A86FF0" w:rsidP="00422769">
      <w:pPr>
        <w:pStyle w:val="ad"/>
        <w:spacing w:line="360" w:lineRule="auto"/>
        <w:jc w:val="both"/>
        <w:rPr>
          <w:rFonts w:ascii="Arial" w:hAnsi="Arial"/>
          <w:noProof w:val="0"/>
        </w:rPr>
      </w:pPr>
      <w:r>
        <w:rPr>
          <w:rFonts w:ascii="Arial" w:hAnsi="Arial" w:hint="cs"/>
          <w:noProof w:val="0"/>
          <w:rtl/>
        </w:rPr>
        <w:lastRenderedPageBreak/>
        <w:t xml:space="preserve">התביעה הוגשה בבית המשפט לענייני משפחה בפתח תקווה וזאת נוכח טענת האב כי </w:t>
      </w:r>
      <w:r w:rsidRPr="00F33765">
        <w:rPr>
          <w:rFonts w:ascii="Arial" w:hAnsi="Arial" w:hint="cs"/>
          <w:b/>
          <w:bCs/>
          <w:noProof w:val="0"/>
          <w:u w:val="single"/>
          <w:rtl/>
        </w:rPr>
        <w:t>ילדיו מתגוררים בנתניה</w:t>
      </w:r>
      <w:r>
        <w:rPr>
          <w:rFonts w:ascii="Arial" w:hAnsi="Arial" w:hint="cs"/>
          <w:noProof w:val="0"/>
          <w:rtl/>
        </w:rPr>
        <w:t xml:space="preserve"> יחד עם אמם ולבית </w:t>
      </w:r>
      <w:r w:rsidR="00F33765">
        <w:rPr>
          <w:rFonts w:ascii="Arial" w:hAnsi="Arial" w:hint="cs"/>
          <w:noProof w:val="0"/>
          <w:rtl/>
        </w:rPr>
        <w:t>ה</w:t>
      </w:r>
      <w:r>
        <w:rPr>
          <w:rFonts w:ascii="Arial" w:hAnsi="Arial" w:hint="cs"/>
          <w:noProof w:val="0"/>
          <w:rtl/>
        </w:rPr>
        <w:t>משפט</w:t>
      </w:r>
      <w:r w:rsidR="00F33765">
        <w:rPr>
          <w:rFonts w:ascii="Arial" w:hAnsi="Arial" w:hint="cs"/>
          <w:noProof w:val="0"/>
          <w:rtl/>
        </w:rPr>
        <w:t xml:space="preserve"> לענייני משפחה בפתח תקווה,</w:t>
      </w:r>
      <w:r>
        <w:rPr>
          <w:rFonts w:ascii="Arial" w:hAnsi="Arial" w:hint="cs"/>
          <w:noProof w:val="0"/>
          <w:rtl/>
        </w:rPr>
        <w:t xml:space="preserve"> הסמכות העניינית והמקומית לדון בתביעה נוכח מקום מגורי הקטינים. </w:t>
      </w:r>
    </w:p>
    <w:p w:rsidR="00A86FF0" w:rsidRDefault="00A86FF0" w:rsidP="00A86FF0">
      <w:pPr>
        <w:pStyle w:val="ad"/>
        <w:spacing w:line="360" w:lineRule="auto"/>
        <w:jc w:val="both"/>
        <w:rPr>
          <w:rFonts w:ascii="Arial" w:hAnsi="Arial"/>
          <w:noProof w:val="0"/>
        </w:rPr>
      </w:pPr>
      <w:r>
        <w:rPr>
          <w:rFonts w:ascii="Arial" w:hAnsi="Arial" w:hint="cs"/>
          <w:noProof w:val="0"/>
          <w:rtl/>
        </w:rPr>
        <w:t>תביעה זו אשר הוגשה מאוחר מהתביעות שהוגשו בבית משפט זה הועברה לבית משפט זה נוכח הוראות תקנה 6(ו) לתקנות סדרי ה</w:t>
      </w:r>
      <w:r w:rsidR="00F33765">
        <w:rPr>
          <w:rFonts w:ascii="Arial" w:hAnsi="Arial" w:hint="cs"/>
          <w:noProof w:val="0"/>
          <w:rtl/>
        </w:rPr>
        <w:t>דין בבית משפט לענייני משפחה.</w:t>
      </w:r>
    </w:p>
    <w:p w:rsidR="00A86FF0" w:rsidRDefault="0075561C" w:rsidP="0075561C">
      <w:pPr>
        <w:pStyle w:val="ad"/>
        <w:numPr>
          <w:ilvl w:val="0"/>
          <w:numId w:val="1"/>
        </w:numPr>
        <w:spacing w:line="360" w:lineRule="auto"/>
        <w:jc w:val="both"/>
        <w:rPr>
          <w:rFonts w:ascii="Arial" w:hAnsi="Arial"/>
          <w:noProof w:val="0"/>
        </w:rPr>
      </w:pPr>
      <w:r>
        <w:rPr>
          <w:rFonts w:ascii="Arial" w:hAnsi="Arial" w:hint="cs"/>
          <w:noProof w:val="0"/>
          <w:rtl/>
        </w:rPr>
        <w:t xml:space="preserve">אלא שלמרות האמור, </w:t>
      </w:r>
      <w:r w:rsidR="00F33765">
        <w:rPr>
          <w:rFonts w:ascii="Arial" w:hAnsi="Arial" w:hint="cs"/>
          <w:noProof w:val="0"/>
          <w:rtl/>
        </w:rPr>
        <w:t xml:space="preserve">סבורתני כי </w:t>
      </w:r>
      <w:r w:rsidR="00A86FF0" w:rsidRPr="0075561C">
        <w:rPr>
          <w:rFonts w:ascii="Arial" w:hAnsi="Arial" w:hint="cs"/>
          <w:b/>
          <w:bCs/>
          <w:noProof w:val="0"/>
          <w:rtl/>
        </w:rPr>
        <w:t>מקום מגוריה</w:t>
      </w:r>
      <w:r>
        <w:rPr>
          <w:rFonts w:ascii="Arial" w:hAnsi="Arial" w:hint="cs"/>
          <w:b/>
          <w:bCs/>
          <w:noProof w:val="0"/>
          <w:rtl/>
        </w:rPr>
        <w:t>ם</w:t>
      </w:r>
      <w:r w:rsidR="00A86FF0" w:rsidRPr="0075561C">
        <w:rPr>
          <w:rFonts w:ascii="Arial" w:hAnsi="Arial" w:hint="cs"/>
          <w:b/>
          <w:bCs/>
          <w:noProof w:val="0"/>
          <w:rtl/>
        </w:rPr>
        <w:t xml:space="preserve"> של </w:t>
      </w:r>
      <w:r>
        <w:rPr>
          <w:rFonts w:ascii="Arial" w:hAnsi="Arial" w:hint="cs"/>
          <w:b/>
          <w:bCs/>
          <w:noProof w:val="0"/>
          <w:rtl/>
        </w:rPr>
        <w:t>הילדים ואימם</w:t>
      </w:r>
      <w:r w:rsidR="00A86FF0" w:rsidRPr="0075561C">
        <w:rPr>
          <w:rFonts w:ascii="Arial" w:hAnsi="Arial" w:hint="cs"/>
          <w:b/>
          <w:bCs/>
          <w:noProof w:val="0"/>
          <w:rtl/>
        </w:rPr>
        <w:t xml:space="preserve"> בנתניה </w:t>
      </w:r>
      <w:r w:rsidRPr="0075561C">
        <w:rPr>
          <w:rFonts w:ascii="Arial" w:hAnsi="Arial" w:hint="cs"/>
          <w:b/>
          <w:bCs/>
          <w:noProof w:val="0"/>
          <w:rtl/>
        </w:rPr>
        <w:t>ו</w:t>
      </w:r>
      <w:r w:rsidR="00A86FF0" w:rsidRPr="0075561C">
        <w:rPr>
          <w:rFonts w:ascii="Arial" w:hAnsi="Arial" w:hint="cs"/>
          <w:b/>
          <w:bCs/>
          <w:noProof w:val="0"/>
          <w:rtl/>
        </w:rPr>
        <w:t>היעדר הליכים מהותיים בבית משפט זה מביאים למסקנה כי כלל ההליכים צריכים להתברר כהוראת התקנות הרלוונטיות בבית המשפט המוסמך מבחינת כללי הסמכות המקומית בהתאם למקום מגורי הקטינים</w:t>
      </w:r>
      <w:r w:rsidR="00A86FF0">
        <w:rPr>
          <w:rFonts w:ascii="Arial" w:hAnsi="Arial" w:hint="cs"/>
          <w:noProof w:val="0"/>
          <w:rtl/>
        </w:rPr>
        <w:t xml:space="preserve">. </w:t>
      </w:r>
    </w:p>
    <w:p w:rsidR="002A61F5" w:rsidRDefault="002A61F5" w:rsidP="002A61F5">
      <w:pPr>
        <w:numPr>
          <w:ilvl w:val="0"/>
          <w:numId w:val="1"/>
        </w:numPr>
        <w:spacing w:line="360" w:lineRule="auto"/>
        <w:jc w:val="both"/>
        <w:rPr>
          <w:rFonts w:ascii="Arial" w:hAnsi="Arial"/>
        </w:rPr>
      </w:pPr>
      <w:r>
        <w:rPr>
          <w:rFonts w:ascii="Arial" w:hAnsi="Arial" w:hint="cs"/>
          <w:rtl/>
        </w:rPr>
        <w:t>יצוין כי בעמדת האב שהוגשה בענין זה נטען כי אכן יש מקום להורות על העברת כלל התיקים לביהמ"ש שלו הסמכות המקומית לדון בענין הקטינים, לרבות בשל נושא התובענות וההכרח להידרש למעורבות גורמי הטיפול.</w:t>
      </w:r>
    </w:p>
    <w:p w:rsidR="002A61F5" w:rsidRDefault="002A61F5" w:rsidP="002A61F5">
      <w:pPr>
        <w:numPr>
          <w:ilvl w:val="0"/>
          <w:numId w:val="1"/>
        </w:numPr>
        <w:spacing w:line="360" w:lineRule="auto"/>
        <w:jc w:val="both"/>
        <w:rPr>
          <w:rFonts w:ascii="Arial" w:hAnsi="Arial"/>
        </w:rPr>
      </w:pPr>
      <w:r>
        <w:rPr>
          <w:rFonts w:ascii="Arial" w:hAnsi="Arial" w:hint="cs"/>
          <w:rtl/>
        </w:rPr>
        <w:t>בעמדת האם אשר הוגשה היא אישרה כי אכן מתגוררת בנתניה אלא שהיא "מעדיפה" שהתובענות תתבררנה בביהמ"ש למשפחה בבאר שבע, מבלי לנמק מדוע יש לה העדפה כזו.</w:t>
      </w:r>
    </w:p>
    <w:p w:rsidR="002A61F5" w:rsidRDefault="002A61F5" w:rsidP="002A61F5">
      <w:pPr>
        <w:spacing w:line="360" w:lineRule="auto"/>
        <w:ind w:left="720"/>
        <w:jc w:val="both"/>
        <w:rPr>
          <w:rFonts w:ascii="Arial" w:hAnsi="Arial"/>
        </w:rPr>
      </w:pPr>
      <w:r>
        <w:rPr>
          <w:rFonts w:ascii="Arial" w:hAnsi="Arial" w:hint="cs"/>
          <w:rtl/>
        </w:rPr>
        <w:t>האם לא הכחישה כי תהא הכבדה על גורמי הטיפול ככל שיידרשו להגיע לדיונים בביהמ"ש בבאר ממקום עבודתם בנתניה ואולם סברה כי "העדפתה" לברר את התביעות בבאר שבע גוברת וכן מבקשת להסתמך על החלטת ביהמ"ש בפתח תקווה להורות על העברת תיק תמ"ש 56895-03-24 וטוענת כי חל הכלל הקבוע בסע' 78 לחוק בתימ"ש לפיו לאחר שתיק עבר בהחלטה שיפוטית חל הכלל של "לא יעבירנו עוד".</w:t>
      </w:r>
    </w:p>
    <w:p w:rsidR="002A61F5" w:rsidRDefault="002A61F5" w:rsidP="002A61F5">
      <w:pPr>
        <w:numPr>
          <w:ilvl w:val="0"/>
          <w:numId w:val="1"/>
        </w:numPr>
        <w:spacing w:line="360" w:lineRule="auto"/>
        <w:jc w:val="both"/>
        <w:rPr>
          <w:rFonts w:ascii="Arial" w:hAnsi="Arial"/>
        </w:rPr>
      </w:pPr>
      <w:r>
        <w:rPr>
          <w:rFonts w:ascii="Arial" w:hAnsi="Arial" w:hint="cs"/>
          <w:rtl/>
        </w:rPr>
        <w:t>סבורתני כי התובעת וב"כ טועים בענין זה.</w:t>
      </w:r>
    </w:p>
    <w:p w:rsidR="00F12DA0" w:rsidRDefault="0075561C" w:rsidP="002A61F5">
      <w:pPr>
        <w:numPr>
          <w:ilvl w:val="0"/>
          <w:numId w:val="1"/>
        </w:numPr>
        <w:spacing w:line="360" w:lineRule="auto"/>
        <w:jc w:val="both"/>
        <w:rPr>
          <w:rFonts w:ascii="Arial" w:hAnsi="Arial"/>
        </w:rPr>
      </w:pPr>
      <w:r>
        <w:rPr>
          <w:rFonts w:ascii="Arial" w:hAnsi="Arial" w:hint="cs"/>
          <w:rtl/>
        </w:rPr>
        <w:t>התובעת לא ציינה בכתבי התביעה שהגישה</w:t>
      </w:r>
      <w:r w:rsidR="00CD6E2A">
        <w:rPr>
          <w:rFonts w:ascii="Arial" w:hAnsi="Arial" w:hint="cs"/>
          <w:rtl/>
        </w:rPr>
        <w:t>,</w:t>
      </w:r>
      <w:r>
        <w:rPr>
          <w:rFonts w:ascii="Arial" w:hAnsi="Arial" w:hint="cs"/>
          <w:rtl/>
        </w:rPr>
        <w:t xml:space="preserve"> מה מקום מגוריה , ביקשה ל</w:t>
      </w:r>
      <w:r w:rsidR="00CD6E2A">
        <w:rPr>
          <w:rFonts w:ascii="Arial" w:hAnsi="Arial" w:hint="cs"/>
          <w:rtl/>
        </w:rPr>
        <w:t>מעשה להגן על עצמה ול</w:t>
      </w:r>
      <w:r>
        <w:rPr>
          <w:rFonts w:ascii="Arial" w:hAnsi="Arial" w:hint="cs"/>
          <w:rtl/>
        </w:rPr>
        <w:t>הסתיר מק</w:t>
      </w:r>
      <w:r w:rsidR="006017E9">
        <w:rPr>
          <w:rFonts w:ascii="Arial" w:hAnsi="Arial" w:hint="cs"/>
          <w:rtl/>
        </w:rPr>
        <w:t>ום זה מהנתבע</w:t>
      </w:r>
      <w:r w:rsidR="002A61F5">
        <w:rPr>
          <w:rFonts w:ascii="Arial" w:hAnsi="Arial" w:hint="cs"/>
          <w:rtl/>
        </w:rPr>
        <w:t>,</w:t>
      </w:r>
      <w:r w:rsidR="006017E9">
        <w:rPr>
          <w:rFonts w:ascii="Arial" w:hAnsi="Arial" w:hint="cs"/>
          <w:rtl/>
        </w:rPr>
        <w:t xml:space="preserve"> אך בפועל גם לא גיל</w:t>
      </w:r>
      <w:r>
        <w:rPr>
          <w:rFonts w:ascii="Arial" w:hAnsi="Arial" w:hint="cs"/>
          <w:rtl/>
        </w:rPr>
        <w:t>ת</w:t>
      </w:r>
      <w:r w:rsidR="006017E9">
        <w:rPr>
          <w:rFonts w:ascii="Arial" w:hAnsi="Arial" w:hint="cs"/>
          <w:rtl/>
        </w:rPr>
        <w:t>ה</w:t>
      </w:r>
      <w:r>
        <w:rPr>
          <w:rFonts w:ascii="Arial" w:hAnsi="Arial" w:hint="cs"/>
          <w:rtl/>
        </w:rPr>
        <w:t xml:space="preserve"> את מלוא התמונה לביהמ"ש</w:t>
      </w:r>
      <w:r w:rsidR="00CD6E2A">
        <w:rPr>
          <w:rFonts w:ascii="Arial" w:hAnsi="Arial" w:hint="cs"/>
          <w:rtl/>
        </w:rPr>
        <w:t xml:space="preserve">. נוכח זו </w:t>
      </w:r>
      <w:r>
        <w:rPr>
          <w:rFonts w:ascii="Arial" w:hAnsi="Arial" w:hint="cs"/>
          <w:rtl/>
        </w:rPr>
        <w:t xml:space="preserve">לא יכולה להיות מחלוקת כי על ביהמ"ש להכריע בענין זה </w:t>
      </w:r>
      <w:r w:rsidR="00CD6E2A">
        <w:rPr>
          <w:rFonts w:ascii="Arial" w:hAnsi="Arial" w:hint="cs"/>
          <w:rtl/>
        </w:rPr>
        <w:t xml:space="preserve">של סמכות מקומית, </w:t>
      </w:r>
      <w:r>
        <w:rPr>
          <w:rFonts w:ascii="Arial" w:hAnsi="Arial" w:hint="cs"/>
          <w:rtl/>
        </w:rPr>
        <w:t xml:space="preserve">בשים לב למלוא השיקולים והנסיבות ולא רק באופן טכני </w:t>
      </w:r>
      <w:r w:rsidR="00CD6E2A">
        <w:rPr>
          <w:rFonts w:ascii="Arial" w:hAnsi="Arial" w:hint="cs"/>
          <w:rtl/>
        </w:rPr>
        <w:t>. לא יכולה להיות מחלוק</w:t>
      </w:r>
      <w:r w:rsidR="002A61F5">
        <w:rPr>
          <w:rFonts w:ascii="Arial" w:hAnsi="Arial" w:hint="cs"/>
          <w:rtl/>
        </w:rPr>
        <w:t>ת</w:t>
      </w:r>
      <w:r w:rsidR="00CD6E2A">
        <w:rPr>
          <w:rFonts w:ascii="Arial" w:hAnsi="Arial" w:hint="cs"/>
          <w:rtl/>
        </w:rPr>
        <w:t xml:space="preserve"> כי לא נפלה כל שגגה בהחלטת בימ"ש פ"</w:t>
      </w:r>
      <w:r w:rsidR="002A61F5">
        <w:rPr>
          <w:rFonts w:ascii="Arial" w:hAnsi="Arial" w:hint="cs"/>
          <w:rtl/>
        </w:rPr>
        <w:t xml:space="preserve">ת שכן חובה היתה עליו </w:t>
      </w:r>
      <w:r w:rsidR="00CD6E2A">
        <w:rPr>
          <w:rFonts w:ascii="Arial" w:hAnsi="Arial" w:hint="cs"/>
          <w:rtl/>
        </w:rPr>
        <w:t>ל</w:t>
      </w:r>
      <w:r w:rsidR="002A61F5">
        <w:rPr>
          <w:rFonts w:ascii="Arial" w:hAnsi="Arial" w:hint="cs"/>
          <w:rtl/>
        </w:rPr>
        <w:t>ה</w:t>
      </w:r>
      <w:r w:rsidR="00CD6E2A">
        <w:rPr>
          <w:rFonts w:ascii="Arial" w:hAnsi="Arial" w:hint="cs"/>
          <w:rtl/>
        </w:rPr>
        <w:t xml:space="preserve">עביר התביעה השלישית </w:t>
      </w:r>
      <w:r w:rsidR="002A61F5">
        <w:rPr>
          <w:rFonts w:ascii="Arial" w:hAnsi="Arial" w:hint="cs"/>
          <w:rtl/>
        </w:rPr>
        <w:t xml:space="preserve">שהוגשה, </w:t>
      </w:r>
      <w:r w:rsidR="00CD6E2A">
        <w:rPr>
          <w:rFonts w:ascii="Arial" w:hAnsi="Arial" w:hint="cs"/>
          <w:rtl/>
        </w:rPr>
        <w:t xml:space="preserve">אחרי שתי קודמותיה. יחד עם זאת </w:t>
      </w:r>
      <w:r>
        <w:rPr>
          <w:rFonts w:ascii="Arial" w:hAnsi="Arial" w:hint="cs"/>
          <w:rtl/>
        </w:rPr>
        <w:t>סבור</w:t>
      </w:r>
      <w:r w:rsidR="006017E9">
        <w:rPr>
          <w:rFonts w:ascii="Arial" w:hAnsi="Arial" w:hint="cs"/>
          <w:rtl/>
        </w:rPr>
        <w:t>ת</w:t>
      </w:r>
      <w:r>
        <w:rPr>
          <w:rFonts w:ascii="Arial" w:hAnsi="Arial" w:hint="cs"/>
          <w:rtl/>
        </w:rPr>
        <w:t xml:space="preserve">ני כי חובתו של ביהמ"ש </w:t>
      </w:r>
      <w:r w:rsidR="00CD6E2A">
        <w:rPr>
          <w:rFonts w:ascii="Arial" w:hAnsi="Arial" w:hint="cs"/>
          <w:rtl/>
        </w:rPr>
        <w:t xml:space="preserve">ביחס למכלול התביעות ובמיוחד שתי הראשונות שהוגשו כאן, </w:t>
      </w:r>
      <w:r>
        <w:rPr>
          <w:rFonts w:ascii="Arial" w:hAnsi="Arial" w:hint="cs"/>
          <w:rtl/>
        </w:rPr>
        <w:t>לשקול שיקולי</w:t>
      </w:r>
      <w:r w:rsidR="00CD6E2A">
        <w:rPr>
          <w:rFonts w:ascii="Arial" w:hAnsi="Arial" w:hint="cs"/>
          <w:rtl/>
        </w:rPr>
        <w:t xml:space="preserve"> טובת הקטינים ויע</w:t>
      </w:r>
      <w:r w:rsidR="002A61F5">
        <w:rPr>
          <w:rFonts w:ascii="Arial" w:hAnsi="Arial" w:hint="cs"/>
          <w:rtl/>
        </w:rPr>
        <w:t>י</w:t>
      </w:r>
      <w:r w:rsidR="00CD6E2A">
        <w:rPr>
          <w:rFonts w:ascii="Arial" w:hAnsi="Arial" w:hint="cs"/>
          <w:rtl/>
        </w:rPr>
        <w:t>לות הדיון ואותה תביעה שבאה אחרי קודמותיה תלך אחריהן לביהמ"ש שלו הסמ</w:t>
      </w:r>
      <w:r w:rsidR="002A61F5">
        <w:rPr>
          <w:rFonts w:ascii="Arial" w:hAnsi="Arial" w:hint="cs"/>
          <w:rtl/>
        </w:rPr>
        <w:t>כ</w:t>
      </w:r>
      <w:r w:rsidR="00CD6E2A">
        <w:rPr>
          <w:rFonts w:ascii="Arial" w:hAnsi="Arial" w:hint="cs"/>
          <w:rtl/>
        </w:rPr>
        <w:t>ות המקומית לדון בענין הקטינים. לא מצאתי ולו נ</w:t>
      </w:r>
      <w:r w:rsidR="002A61F5">
        <w:rPr>
          <w:rFonts w:ascii="Arial" w:hAnsi="Arial" w:hint="cs"/>
          <w:rtl/>
        </w:rPr>
        <w:t>ימוק אחד מהותי לניהול ההליכים ב</w:t>
      </w:r>
      <w:r w:rsidR="00CD6E2A">
        <w:rPr>
          <w:rFonts w:ascii="Arial" w:hAnsi="Arial" w:hint="cs"/>
          <w:rtl/>
        </w:rPr>
        <w:t>ב</w:t>
      </w:r>
      <w:r w:rsidR="002A61F5">
        <w:rPr>
          <w:rFonts w:ascii="Arial" w:hAnsi="Arial" w:hint="cs"/>
          <w:rtl/>
        </w:rPr>
        <w:t>י</w:t>
      </w:r>
      <w:r w:rsidR="00CD6E2A">
        <w:rPr>
          <w:rFonts w:ascii="Arial" w:hAnsi="Arial" w:hint="cs"/>
          <w:rtl/>
        </w:rPr>
        <w:t xml:space="preserve">מ"ש זה למעט הבחירה השרירותית של התובעת להגיש תביעותיה בבימ"ש זה ומה שהיא מגדירה כ"העדפה" מטעמה. </w:t>
      </w:r>
      <w:r>
        <w:rPr>
          <w:rFonts w:ascii="Arial" w:hAnsi="Arial" w:hint="cs"/>
          <w:rtl/>
        </w:rPr>
        <w:t xml:space="preserve"> </w:t>
      </w:r>
      <w:r w:rsidR="00CD6E2A">
        <w:rPr>
          <w:rFonts w:ascii="Arial" w:hAnsi="Arial" w:hint="cs"/>
          <w:rtl/>
        </w:rPr>
        <w:t xml:space="preserve">בכל הכבוד </w:t>
      </w:r>
      <w:r w:rsidR="00CD6E2A" w:rsidRPr="000943F2">
        <w:rPr>
          <w:rFonts w:ascii="Arial" w:hAnsi="Arial" w:hint="cs"/>
          <w:b/>
          <w:bCs/>
          <w:rtl/>
        </w:rPr>
        <w:t>"פורום שופינג" איננו נימוק שמצדיק קב</w:t>
      </w:r>
      <w:r w:rsidR="002A61F5" w:rsidRPr="000943F2">
        <w:rPr>
          <w:rFonts w:ascii="Arial" w:hAnsi="Arial" w:hint="cs"/>
          <w:b/>
          <w:bCs/>
          <w:rtl/>
        </w:rPr>
        <w:t>יעת מקום השיפוט</w:t>
      </w:r>
      <w:r w:rsidR="002A61F5">
        <w:rPr>
          <w:rFonts w:ascii="Arial" w:hAnsi="Arial" w:hint="cs"/>
          <w:rtl/>
        </w:rPr>
        <w:t>.</w:t>
      </w:r>
    </w:p>
    <w:p w:rsidR="00E501B6" w:rsidRDefault="00E501B6" w:rsidP="00E501B6">
      <w:pPr>
        <w:spacing w:line="360" w:lineRule="auto"/>
        <w:ind w:left="720"/>
        <w:jc w:val="both"/>
        <w:rPr>
          <w:rFonts w:ascii="Arial" w:hAnsi="Arial"/>
        </w:rPr>
      </w:pPr>
    </w:p>
    <w:p w:rsidR="0075561C" w:rsidRDefault="006017E9" w:rsidP="002A61F5">
      <w:pPr>
        <w:numPr>
          <w:ilvl w:val="0"/>
          <w:numId w:val="1"/>
        </w:numPr>
        <w:spacing w:line="360" w:lineRule="auto"/>
        <w:jc w:val="both"/>
        <w:rPr>
          <w:rFonts w:ascii="Arial" w:hAnsi="Arial"/>
        </w:rPr>
      </w:pPr>
      <w:r>
        <w:rPr>
          <w:rFonts w:ascii="Arial" w:hAnsi="Arial" w:hint="cs"/>
          <w:rtl/>
        </w:rPr>
        <w:lastRenderedPageBreak/>
        <w:t xml:space="preserve">עוד </w:t>
      </w:r>
      <w:r w:rsidR="002A61F5">
        <w:rPr>
          <w:rFonts w:ascii="Arial" w:hAnsi="Arial" w:hint="cs"/>
          <w:rtl/>
        </w:rPr>
        <w:t xml:space="preserve">יודגש </w:t>
      </w:r>
      <w:r>
        <w:rPr>
          <w:rFonts w:ascii="Arial" w:hAnsi="Arial" w:hint="cs"/>
          <w:rtl/>
        </w:rPr>
        <w:t xml:space="preserve">כי </w:t>
      </w:r>
      <w:r w:rsidR="0075561C">
        <w:rPr>
          <w:rFonts w:ascii="Arial" w:hAnsi="Arial" w:hint="cs"/>
          <w:rtl/>
        </w:rPr>
        <w:t>שעה שטרם החל בירור ההליכים באף אחת מה</w:t>
      </w:r>
      <w:r>
        <w:rPr>
          <w:rFonts w:ascii="Arial" w:hAnsi="Arial" w:hint="cs"/>
          <w:rtl/>
        </w:rPr>
        <w:t>תביעות הרי שאי</w:t>
      </w:r>
      <w:r w:rsidR="0075561C">
        <w:rPr>
          <w:rFonts w:ascii="Arial" w:hAnsi="Arial" w:hint="cs"/>
          <w:rtl/>
        </w:rPr>
        <w:t>ן לומר כי כבר חל הכלל של שופט אחד-משפחה אחת, שכן ביהמ"ש היחיד שכבר התקיימו בפניו דיונ</w:t>
      </w:r>
      <w:r w:rsidR="002A61F5">
        <w:rPr>
          <w:rFonts w:ascii="Arial" w:hAnsi="Arial" w:hint="cs"/>
          <w:rtl/>
        </w:rPr>
        <w:t>ים בעניינם של הצד</w:t>
      </w:r>
      <w:r w:rsidR="0075561C">
        <w:rPr>
          <w:rFonts w:ascii="Arial" w:hAnsi="Arial" w:hint="cs"/>
          <w:rtl/>
        </w:rPr>
        <w:t>ד</w:t>
      </w:r>
      <w:r w:rsidR="002A61F5">
        <w:rPr>
          <w:rFonts w:ascii="Arial" w:hAnsi="Arial" w:hint="cs"/>
          <w:rtl/>
        </w:rPr>
        <w:t>י</w:t>
      </w:r>
      <w:r w:rsidR="0075561C">
        <w:rPr>
          <w:rFonts w:ascii="Arial" w:hAnsi="Arial" w:hint="cs"/>
          <w:rtl/>
        </w:rPr>
        <w:t>ם, הינו ביהמ"ש בנ</w:t>
      </w:r>
      <w:r>
        <w:rPr>
          <w:rFonts w:ascii="Arial" w:hAnsi="Arial" w:hint="cs"/>
          <w:rtl/>
        </w:rPr>
        <w:t>יו יורק, ארה"ב</w:t>
      </w:r>
      <w:r w:rsidR="002A61F5">
        <w:rPr>
          <w:rFonts w:ascii="Arial" w:hAnsi="Arial" w:hint="cs"/>
          <w:rtl/>
        </w:rPr>
        <w:t xml:space="preserve"> ובהתאם להודעת הרשות המרכזית, הוא אף זה שיש להמתין להכרעתו בשאלת הסמכות העניינית</w:t>
      </w:r>
      <w:r>
        <w:rPr>
          <w:rFonts w:ascii="Arial" w:hAnsi="Arial" w:hint="cs"/>
          <w:rtl/>
        </w:rPr>
        <w:t>.</w:t>
      </w:r>
    </w:p>
    <w:p w:rsidR="00F12DA0" w:rsidRDefault="00A86FF0" w:rsidP="000943F2">
      <w:pPr>
        <w:numPr>
          <w:ilvl w:val="0"/>
          <w:numId w:val="1"/>
        </w:numPr>
        <w:spacing w:line="360" w:lineRule="auto"/>
        <w:jc w:val="both"/>
        <w:rPr>
          <w:rFonts w:ascii="Arial" w:hAnsi="Arial"/>
        </w:rPr>
      </w:pPr>
      <w:r>
        <w:rPr>
          <w:rFonts w:ascii="Arial" w:hAnsi="Arial"/>
          <w:rtl/>
        </w:rPr>
        <w:t xml:space="preserve">יש טעם רב להורות על קביעת מקום שיפוט במחוז </w:t>
      </w:r>
      <w:r w:rsidR="00F12DA0">
        <w:rPr>
          <w:rFonts w:ascii="Arial" w:hAnsi="Arial" w:hint="cs"/>
          <w:rtl/>
        </w:rPr>
        <w:t>מרכז</w:t>
      </w:r>
      <w:r>
        <w:rPr>
          <w:rFonts w:ascii="Arial" w:hAnsi="Arial"/>
          <w:rtl/>
        </w:rPr>
        <w:t xml:space="preserve">, מקום מגוריה של </w:t>
      </w:r>
      <w:r w:rsidR="00F12DA0">
        <w:rPr>
          <w:rFonts w:ascii="Arial" w:hAnsi="Arial" w:hint="cs"/>
          <w:rtl/>
        </w:rPr>
        <w:t>האם והקטינים היום, כאשר לצדדים אין מקום מגורים משותף בישראל בכלל ובאזור הסמכות המקומית של בימ"ש למשפחה באר שבע בפרט.</w:t>
      </w:r>
    </w:p>
    <w:p w:rsidR="006017E9" w:rsidRDefault="006017E9" w:rsidP="006017E9">
      <w:pPr>
        <w:spacing w:line="360" w:lineRule="auto"/>
        <w:ind w:left="720"/>
        <w:jc w:val="both"/>
        <w:rPr>
          <w:rFonts w:ascii="Arial" w:hAnsi="Arial"/>
        </w:rPr>
      </w:pPr>
      <w:r>
        <w:rPr>
          <w:rFonts w:ascii="Arial" w:hAnsi="Arial" w:hint="cs"/>
          <w:rtl/>
        </w:rPr>
        <w:t>ספק בעיני אם לכתחילה היה מקום להגיש את התביעות בבימ"ש זה, שכן רב הנסתר על הגלוי בענין מקום מגוריה של התובעת גם במועד הגשת התביעות ולא רק נכון למועד הגשת עמדתה בענין זה</w:t>
      </w:r>
      <w:r w:rsidR="00DD5E6D">
        <w:rPr>
          <w:rFonts w:ascii="Arial" w:hAnsi="Arial" w:hint="cs"/>
          <w:rtl/>
        </w:rPr>
        <w:t>,</w:t>
      </w:r>
      <w:r>
        <w:rPr>
          <w:rFonts w:ascii="Arial" w:hAnsi="Arial" w:hint="cs"/>
          <w:rtl/>
        </w:rPr>
        <w:t xml:space="preserve"> בעת האחרונה.</w:t>
      </w:r>
    </w:p>
    <w:p w:rsidR="00F12DA0" w:rsidRDefault="006017E9" w:rsidP="006017E9">
      <w:pPr>
        <w:numPr>
          <w:ilvl w:val="0"/>
          <w:numId w:val="1"/>
        </w:numPr>
        <w:spacing w:line="360" w:lineRule="auto"/>
        <w:jc w:val="both"/>
        <w:rPr>
          <w:rFonts w:ascii="Arial" w:hAnsi="Arial"/>
        </w:rPr>
      </w:pPr>
      <w:r w:rsidRPr="002A61F5">
        <w:rPr>
          <w:rFonts w:ascii="Arial" w:hAnsi="Arial" w:hint="cs"/>
          <w:b/>
          <w:bCs/>
          <w:rtl/>
        </w:rPr>
        <w:t>קביעת מקום השיפוט במחו</w:t>
      </w:r>
      <w:r w:rsidR="00F12DA0" w:rsidRPr="002A61F5">
        <w:rPr>
          <w:rFonts w:ascii="Arial" w:hAnsi="Arial" w:hint="cs"/>
          <w:b/>
          <w:bCs/>
          <w:rtl/>
        </w:rPr>
        <w:t>ז מרכז ממלאת אחר הוראות ותכלית התקנות הספציפיות הנוגעות לקב</w:t>
      </w:r>
      <w:r w:rsidRPr="002A61F5">
        <w:rPr>
          <w:rFonts w:ascii="Arial" w:hAnsi="Arial" w:hint="cs"/>
          <w:b/>
          <w:bCs/>
          <w:rtl/>
        </w:rPr>
        <w:t>י</w:t>
      </w:r>
      <w:r w:rsidR="00F12DA0" w:rsidRPr="002A61F5">
        <w:rPr>
          <w:rFonts w:ascii="Arial" w:hAnsi="Arial" w:hint="cs"/>
          <w:b/>
          <w:bCs/>
          <w:rtl/>
        </w:rPr>
        <w:t>ע</w:t>
      </w:r>
      <w:r w:rsidRPr="002A61F5">
        <w:rPr>
          <w:rFonts w:ascii="Arial" w:hAnsi="Arial" w:hint="cs"/>
          <w:b/>
          <w:bCs/>
          <w:rtl/>
        </w:rPr>
        <w:t>ת מקום הסמ</w:t>
      </w:r>
      <w:r w:rsidR="00F12DA0" w:rsidRPr="002A61F5">
        <w:rPr>
          <w:rFonts w:ascii="Arial" w:hAnsi="Arial" w:hint="cs"/>
          <w:b/>
          <w:bCs/>
          <w:rtl/>
        </w:rPr>
        <w:t>כות המקומית בתיק</w:t>
      </w:r>
      <w:r w:rsidRPr="002A61F5">
        <w:rPr>
          <w:rFonts w:ascii="Arial" w:hAnsi="Arial" w:hint="cs"/>
          <w:b/>
          <w:bCs/>
          <w:rtl/>
        </w:rPr>
        <w:t>י</w:t>
      </w:r>
      <w:r w:rsidR="00F12DA0" w:rsidRPr="002A61F5">
        <w:rPr>
          <w:rFonts w:ascii="Arial" w:hAnsi="Arial" w:hint="cs"/>
          <w:b/>
          <w:bCs/>
          <w:rtl/>
        </w:rPr>
        <w:t>ם המתנהלים בבתי מש</w:t>
      </w:r>
      <w:r w:rsidRPr="002A61F5">
        <w:rPr>
          <w:rFonts w:ascii="Arial" w:hAnsi="Arial" w:hint="cs"/>
          <w:b/>
          <w:bCs/>
          <w:rtl/>
        </w:rPr>
        <w:t>פ</w:t>
      </w:r>
      <w:r w:rsidR="00F12DA0" w:rsidRPr="002A61F5">
        <w:rPr>
          <w:rFonts w:ascii="Arial" w:hAnsi="Arial" w:hint="cs"/>
          <w:b/>
          <w:bCs/>
          <w:rtl/>
        </w:rPr>
        <w:t>ט למשפחה</w:t>
      </w:r>
      <w:r w:rsidR="00F12DA0">
        <w:rPr>
          <w:rFonts w:ascii="Arial" w:hAnsi="Arial" w:hint="cs"/>
          <w:rtl/>
        </w:rPr>
        <w:t>.</w:t>
      </w:r>
    </w:p>
    <w:p w:rsidR="006733B4" w:rsidRPr="00DD5E6D" w:rsidRDefault="006733B4" w:rsidP="006733B4">
      <w:pPr>
        <w:pStyle w:val="ad"/>
        <w:numPr>
          <w:ilvl w:val="0"/>
          <w:numId w:val="1"/>
        </w:numPr>
        <w:tabs>
          <w:tab w:val="left" w:pos="720"/>
          <w:tab w:val="left" w:pos="1440"/>
          <w:tab w:val="left" w:pos="2160"/>
          <w:tab w:val="left" w:pos="2880"/>
          <w:tab w:val="left" w:pos="3600"/>
        </w:tabs>
        <w:spacing w:before="45" w:after="50" w:line="249" w:lineRule="auto"/>
        <w:jc w:val="both"/>
        <w:rPr>
          <w:rFonts w:ascii="David" w:hAnsi="David"/>
          <w:noProof w:val="0"/>
          <w:sz w:val="22"/>
          <w:szCs w:val="22"/>
        </w:rPr>
      </w:pPr>
      <w:r w:rsidRPr="00DD5E6D">
        <w:rPr>
          <w:rFonts w:ascii="David" w:hAnsi="David"/>
          <w:szCs w:val="26"/>
          <w:rtl/>
        </w:rPr>
        <w:t>תקנה 6.(א) ל</w:t>
      </w:r>
      <w:r w:rsidRPr="00DD5E6D">
        <w:rPr>
          <w:rFonts w:ascii="David" w:hAnsi="David"/>
          <w:rtl/>
        </w:rPr>
        <w:t>תקנות בית משפט לענייני משפחה (סדרי דין), תשפ"א-2020 קובעת:</w:t>
      </w:r>
    </w:p>
    <w:p w:rsidR="006733B4" w:rsidRPr="00DD5E6D" w:rsidRDefault="006733B4" w:rsidP="006733B4">
      <w:pPr>
        <w:pStyle w:val="ad"/>
        <w:tabs>
          <w:tab w:val="left" w:pos="720"/>
          <w:tab w:val="left" w:pos="1440"/>
          <w:tab w:val="left" w:pos="2160"/>
          <w:tab w:val="left" w:pos="2880"/>
          <w:tab w:val="left" w:pos="3600"/>
        </w:tabs>
        <w:spacing w:before="45" w:after="50" w:line="249" w:lineRule="auto"/>
        <w:jc w:val="both"/>
        <w:rPr>
          <w:rFonts w:ascii="David" w:hAnsi="David"/>
          <w:rtl/>
        </w:rPr>
      </w:pPr>
    </w:p>
    <w:p w:rsidR="006733B4" w:rsidRPr="00DD5E6D" w:rsidRDefault="006733B4" w:rsidP="006733B4">
      <w:pPr>
        <w:pStyle w:val="ad"/>
        <w:tabs>
          <w:tab w:val="left" w:pos="720"/>
          <w:tab w:val="left" w:pos="1440"/>
          <w:tab w:val="left" w:pos="2160"/>
          <w:tab w:val="left" w:pos="2880"/>
          <w:tab w:val="left" w:pos="3600"/>
        </w:tabs>
        <w:spacing w:before="45" w:after="50" w:line="249" w:lineRule="auto"/>
        <w:ind w:left="2160" w:hanging="1440"/>
        <w:jc w:val="both"/>
        <w:rPr>
          <w:rFonts w:ascii="David" w:hAnsi="David"/>
          <w:noProof w:val="0"/>
          <w:sz w:val="22"/>
          <w:szCs w:val="22"/>
          <w:rtl/>
        </w:rPr>
      </w:pPr>
      <w:r w:rsidRPr="00DD5E6D">
        <w:rPr>
          <w:rFonts w:ascii="David" w:hAnsi="David"/>
          <w:rtl/>
        </w:rPr>
        <w:tab/>
        <w:t>"</w:t>
      </w:r>
      <w:r w:rsidRPr="00DD5E6D">
        <w:rPr>
          <w:rFonts w:ascii="David" w:hAnsi="David"/>
          <w:b/>
          <w:bCs/>
          <w:rtl/>
        </w:rPr>
        <w:tab/>
      </w:r>
      <w:r w:rsidRPr="00DD5E6D">
        <w:rPr>
          <w:rFonts w:ascii="David" w:hAnsi="David"/>
          <w:b/>
          <w:bCs/>
          <w:szCs w:val="26"/>
          <w:rtl/>
        </w:rPr>
        <w:t>תובענה ראשונה בענייני משפחה שהצדדים לה הם בני זוג או הורים וילדיהם תוגש לבית המשפט שבתחום שיפוטו מצוי מקום מגוריהם המשותף, ואם אין להם מקום מגורים משותף – מקום מגוריהם המשותף האחרון בישראל, ובלבד שאחד הצדדים עדיין מתגורר באותו מקום מגורים; ואולם אם התובענה בעניינו של קטין, רשאי בית המשפט להורות על העברת הדיון בתובענה ובתיקים נוספים בין אותם צדדים, לבית משפט במקום אחר.</w:t>
      </w:r>
      <w:r w:rsidRPr="00DD5E6D">
        <w:rPr>
          <w:rFonts w:ascii="David" w:hAnsi="David"/>
          <w:b/>
          <w:bCs/>
          <w:noProof w:val="0"/>
          <w:sz w:val="22"/>
          <w:szCs w:val="22"/>
          <w:rtl/>
        </w:rPr>
        <w:tab/>
        <w:t>"</w:t>
      </w:r>
    </w:p>
    <w:p w:rsidR="006733B4" w:rsidRDefault="006733B4" w:rsidP="006733B4">
      <w:pPr>
        <w:pStyle w:val="ad"/>
        <w:tabs>
          <w:tab w:val="left" w:pos="720"/>
          <w:tab w:val="left" w:pos="1440"/>
          <w:tab w:val="left" w:pos="2160"/>
          <w:tab w:val="left" w:pos="2880"/>
          <w:tab w:val="left" w:pos="3600"/>
        </w:tabs>
        <w:spacing w:before="45" w:after="50" w:line="249" w:lineRule="auto"/>
        <w:ind w:left="2160" w:hanging="1440"/>
        <w:jc w:val="both"/>
        <w:rPr>
          <w:rFonts w:ascii="Arial" w:hAnsi="Arial"/>
          <w:rtl/>
        </w:rPr>
      </w:pPr>
    </w:p>
    <w:p w:rsidR="006733B4" w:rsidRDefault="006733B4" w:rsidP="006733B4">
      <w:pPr>
        <w:pStyle w:val="ad"/>
        <w:tabs>
          <w:tab w:val="left" w:pos="720"/>
          <w:tab w:val="left" w:pos="1440"/>
          <w:tab w:val="left" w:pos="2160"/>
          <w:tab w:val="left" w:pos="2880"/>
          <w:tab w:val="left" w:pos="3600"/>
        </w:tabs>
        <w:spacing w:before="45" w:after="50" w:line="249" w:lineRule="auto"/>
        <w:ind w:left="2160" w:hanging="1440"/>
        <w:jc w:val="both"/>
        <w:rPr>
          <w:rFonts w:ascii="Arial" w:hAnsi="Arial"/>
          <w:rtl/>
        </w:rPr>
      </w:pPr>
      <w:r>
        <w:rPr>
          <w:rFonts w:ascii="Arial" w:hAnsi="Arial"/>
          <w:rtl/>
        </w:rPr>
        <w:t xml:space="preserve">בסיפא </w:t>
      </w:r>
      <w:r w:rsidR="00DD5E6D">
        <w:rPr>
          <w:rFonts w:ascii="Arial" w:hAnsi="Arial" w:hint="cs"/>
          <w:rtl/>
        </w:rPr>
        <w:t>ל</w:t>
      </w:r>
      <w:r>
        <w:rPr>
          <w:rFonts w:ascii="Arial" w:hAnsi="Arial"/>
          <w:rtl/>
        </w:rPr>
        <w:t>תקנה זו נקבע מפורשות</w:t>
      </w:r>
      <w:r>
        <w:rPr>
          <w:rFonts w:ascii="Arial" w:hAnsi="Arial" w:hint="cs"/>
          <w:rtl/>
        </w:rPr>
        <w:t>:</w:t>
      </w:r>
    </w:p>
    <w:p w:rsidR="006733B4" w:rsidRDefault="006733B4" w:rsidP="006733B4">
      <w:pPr>
        <w:pStyle w:val="ad"/>
        <w:tabs>
          <w:tab w:val="left" w:pos="720"/>
          <w:tab w:val="left" w:pos="1440"/>
          <w:tab w:val="left" w:pos="2160"/>
          <w:tab w:val="left" w:pos="2880"/>
          <w:tab w:val="left" w:pos="3600"/>
        </w:tabs>
        <w:spacing w:before="45" w:after="50" w:line="249" w:lineRule="auto"/>
        <w:ind w:left="2160" w:hanging="1440"/>
        <w:jc w:val="both"/>
        <w:rPr>
          <w:rFonts w:ascii="David" w:hAnsi="David"/>
          <w:b/>
          <w:bCs/>
          <w:noProof w:val="0"/>
          <w:sz w:val="22"/>
          <w:szCs w:val="22"/>
          <w:rtl/>
        </w:rPr>
      </w:pPr>
      <w:r w:rsidRPr="002A61F5">
        <w:rPr>
          <w:rFonts w:ascii="David" w:hAnsi="David"/>
          <w:rtl/>
        </w:rPr>
        <w:tab/>
      </w:r>
      <w:r w:rsidRPr="002A61F5">
        <w:rPr>
          <w:rFonts w:ascii="David" w:hAnsi="David"/>
          <w:b/>
          <w:bCs/>
          <w:rtl/>
        </w:rPr>
        <w:t>"...</w:t>
      </w:r>
      <w:r w:rsidRPr="002A61F5">
        <w:rPr>
          <w:rFonts w:ascii="David" w:hAnsi="David"/>
          <w:b/>
          <w:bCs/>
          <w:szCs w:val="26"/>
          <w:rtl/>
        </w:rPr>
        <w:t xml:space="preserve"> </w:t>
      </w:r>
      <w:r w:rsidRPr="002A61F5">
        <w:rPr>
          <w:rFonts w:ascii="David" w:hAnsi="David"/>
          <w:b/>
          <w:bCs/>
          <w:szCs w:val="26"/>
          <w:rtl/>
        </w:rPr>
        <w:tab/>
        <w:t>ואולם אם התובענה בעניינו של קטין, רשאי בית המשפט להורות על העברת הדיון בתובענה ובתיקים נוספים בין אותם צדדים, לבית משפט במקום אחר."</w:t>
      </w:r>
      <w:r w:rsidRPr="002A61F5">
        <w:rPr>
          <w:rFonts w:ascii="David" w:hAnsi="David"/>
          <w:b/>
          <w:bCs/>
          <w:noProof w:val="0"/>
          <w:sz w:val="22"/>
          <w:szCs w:val="22"/>
          <w:rtl/>
        </w:rPr>
        <w:tab/>
      </w:r>
    </w:p>
    <w:p w:rsidR="00E501B6" w:rsidRPr="002A61F5" w:rsidRDefault="00E501B6" w:rsidP="006733B4">
      <w:pPr>
        <w:pStyle w:val="ad"/>
        <w:tabs>
          <w:tab w:val="left" w:pos="720"/>
          <w:tab w:val="left" w:pos="1440"/>
          <w:tab w:val="left" w:pos="2160"/>
          <w:tab w:val="left" w:pos="2880"/>
          <w:tab w:val="left" w:pos="3600"/>
        </w:tabs>
        <w:spacing w:before="45" w:after="50" w:line="249" w:lineRule="auto"/>
        <w:ind w:left="2160" w:hanging="1440"/>
        <w:jc w:val="both"/>
        <w:rPr>
          <w:rFonts w:ascii="David" w:hAnsi="David"/>
          <w:b/>
          <w:bCs/>
          <w:noProof w:val="0"/>
          <w:sz w:val="22"/>
          <w:szCs w:val="22"/>
        </w:rPr>
      </w:pPr>
    </w:p>
    <w:p w:rsidR="00A86FF0" w:rsidRDefault="006733B4" w:rsidP="00DD5E6D">
      <w:pPr>
        <w:pStyle w:val="ad"/>
        <w:numPr>
          <w:ilvl w:val="0"/>
          <w:numId w:val="1"/>
        </w:numPr>
        <w:spacing w:line="360" w:lineRule="auto"/>
        <w:jc w:val="both"/>
        <w:rPr>
          <w:rFonts w:ascii="Arial" w:hAnsi="Arial"/>
          <w:noProof w:val="0"/>
        </w:rPr>
      </w:pPr>
      <w:r>
        <w:rPr>
          <w:rtl/>
        </w:rPr>
        <w:t>בפסיקה עמדו על כך שהורא</w:t>
      </w:r>
      <w:r>
        <w:rPr>
          <w:rFonts w:hint="cs"/>
          <w:rtl/>
        </w:rPr>
        <w:t>ו</w:t>
      </w:r>
      <w:r>
        <w:rPr>
          <w:rtl/>
        </w:rPr>
        <w:t>ת</w:t>
      </w:r>
      <w:r>
        <w:rPr>
          <w:rFonts w:hint="cs"/>
          <w:rtl/>
        </w:rPr>
        <w:t xml:space="preserve"> סעיפים אלו </w:t>
      </w:r>
      <w:r>
        <w:rPr>
          <w:rtl/>
        </w:rPr>
        <w:t xml:space="preserve"> גוברות על הוראות אחרות הקבועות בתקנות הנוגעות לסמכות המקומית</w:t>
      </w:r>
      <w:r>
        <w:rPr>
          <w:rFonts w:hint="cs"/>
          <w:rtl/>
        </w:rPr>
        <w:t xml:space="preserve">. לענין זה </w:t>
      </w:r>
      <w:r w:rsidRPr="00DD5E6D">
        <w:rPr>
          <w:rFonts w:hint="cs"/>
          <w:rtl/>
        </w:rPr>
        <w:t xml:space="preserve">ר' </w:t>
      </w:r>
      <w:hyperlink r:id="rId10" w:history="1">
        <w:r w:rsidRPr="00DD5E6D">
          <w:rPr>
            <w:rStyle w:val="Hyperlink"/>
            <w:b/>
            <w:bCs/>
            <w:color w:val="auto"/>
            <w:u w:val="none"/>
            <w:rtl/>
          </w:rPr>
          <w:t>תמ"ש 50223/08</w:t>
        </w:r>
      </w:hyperlink>
      <w:r w:rsidRPr="00DD5E6D">
        <w:rPr>
          <w:b/>
          <w:bCs/>
          <w:rtl/>
        </w:rPr>
        <w:t xml:space="preserve"> ל.ש. נ' ל.ח. ; </w:t>
      </w:r>
      <w:hyperlink r:id="rId11" w:history="1">
        <w:r w:rsidRPr="00DD5E6D">
          <w:rPr>
            <w:rStyle w:val="Hyperlink"/>
            <w:b/>
            <w:bCs/>
            <w:color w:val="auto"/>
            <w:u w:val="none"/>
            <w:rtl/>
          </w:rPr>
          <w:t>תמ"ש (י-ם) 44621-03-10</w:t>
        </w:r>
      </w:hyperlink>
      <w:r w:rsidRPr="00DD5E6D">
        <w:rPr>
          <w:rtl/>
        </w:rPr>
        <w:t xml:space="preserve"> </w:t>
      </w:r>
      <w:r w:rsidRPr="00DD5E6D">
        <w:rPr>
          <w:b/>
          <w:bCs/>
          <w:rtl/>
        </w:rPr>
        <w:t>י. ש נ' ר.ס.</w:t>
      </w:r>
      <w:r w:rsidRPr="00DD5E6D">
        <w:rPr>
          <w:rtl/>
        </w:rPr>
        <w:t xml:space="preserve"> </w:t>
      </w:r>
      <w:r w:rsidRPr="00DD5E6D">
        <w:rPr>
          <w:rFonts w:hint="cs"/>
          <w:sz w:val="22"/>
          <w:rtl/>
        </w:rPr>
        <w:t xml:space="preserve">וכן </w:t>
      </w:r>
      <w:r w:rsidRPr="00DD5E6D">
        <w:rPr>
          <w:rFonts w:hint="cs"/>
          <w:b/>
          <w:bCs/>
          <w:sz w:val="22"/>
          <w:rtl/>
        </w:rPr>
        <w:t xml:space="preserve">תמ"ש (י-ם) 23102-04-19 </w:t>
      </w:r>
      <w:r w:rsidR="001350F6" w:rsidRPr="00DD5E6D">
        <w:rPr>
          <w:rFonts w:hint="cs"/>
          <w:b/>
          <w:bCs/>
          <w:sz w:val="22"/>
          <w:rtl/>
        </w:rPr>
        <w:t>ק.מ. נ' א.מ.</w:t>
      </w:r>
      <w:r w:rsidR="00DD5E6D">
        <w:rPr>
          <w:rFonts w:hint="cs"/>
          <w:b/>
          <w:bCs/>
          <w:sz w:val="22"/>
          <w:rtl/>
        </w:rPr>
        <w:t xml:space="preserve"> (כולם פורסמו במאגרי פסיקה)</w:t>
      </w:r>
      <w:r w:rsidR="001350F6" w:rsidRPr="00DD5E6D">
        <w:rPr>
          <w:rFonts w:hint="cs"/>
          <w:b/>
          <w:bCs/>
          <w:sz w:val="22"/>
          <w:rtl/>
        </w:rPr>
        <w:t>.</w:t>
      </w:r>
    </w:p>
    <w:p w:rsidR="001350F6" w:rsidRPr="001350F6" w:rsidRDefault="001350F6" w:rsidP="006733B4">
      <w:pPr>
        <w:pStyle w:val="ad"/>
        <w:numPr>
          <w:ilvl w:val="0"/>
          <w:numId w:val="1"/>
        </w:numPr>
        <w:spacing w:line="360" w:lineRule="auto"/>
        <w:jc w:val="both"/>
        <w:rPr>
          <w:rFonts w:ascii="Arial" w:hAnsi="Arial"/>
          <w:noProof w:val="0"/>
        </w:rPr>
      </w:pPr>
      <w:r>
        <w:rPr>
          <w:rFonts w:hint="cs"/>
          <w:sz w:val="22"/>
          <w:rtl/>
        </w:rPr>
        <w:t>לענין זה מצא</w:t>
      </w:r>
      <w:r w:rsidR="00DD5E6D">
        <w:rPr>
          <w:rFonts w:hint="cs"/>
          <w:sz w:val="22"/>
          <w:rtl/>
        </w:rPr>
        <w:t>ת</w:t>
      </w:r>
      <w:r>
        <w:rPr>
          <w:rFonts w:hint="cs"/>
          <w:sz w:val="22"/>
          <w:rtl/>
        </w:rPr>
        <w:t>י להביא מהחלטתו של כב' השופט נמרוד פלקס בתמ"ש 23102-04-19 ש</w:t>
      </w:r>
      <w:r w:rsidR="00DD5E6D">
        <w:rPr>
          <w:rFonts w:hint="cs"/>
          <w:sz w:val="22"/>
          <w:rtl/>
        </w:rPr>
        <w:t xml:space="preserve">הוזכר </w:t>
      </w:r>
      <w:r>
        <w:rPr>
          <w:rFonts w:hint="cs"/>
          <w:sz w:val="22"/>
          <w:rtl/>
        </w:rPr>
        <w:t>לעיל:</w:t>
      </w:r>
    </w:p>
    <w:p w:rsidR="001350F6" w:rsidRPr="00DD5E6D" w:rsidRDefault="001350F6" w:rsidP="001350F6">
      <w:pPr>
        <w:spacing w:line="360" w:lineRule="auto"/>
        <w:ind w:left="2160" w:hanging="720"/>
        <w:jc w:val="both"/>
        <w:textAlignment w:val="top"/>
        <w:rPr>
          <w:b/>
          <w:bCs/>
        </w:rPr>
      </w:pPr>
      <w:r w:rsidRPr="00DD5E6D">
        <w:rPr>
          <w:rFonts w:hint="cs"/>
          <w:b/>
          <w:bCs/>
          <w:rtl/>
          <w:lang w:eastAsia="he-IL"/>
        </w:rPr>
        <w:t>"</w:t>
      </w:r>
      <w:r w:rsidRPr="00DD5E6D">
        <w:rPr>
          <w:b/>
          <w:bCs/>
          <w:rtl/>
          <w:lang w:eastAsia="he-IL"/>
        </w:rPr>
        <w:tab/>
        <w:t xml:space="preserve">עסקינן בשאלה של סמכות מקומית, אשר בניגוד לסמכות עניינית, היא בגדר נושא פרוצדוראלי, </w:t>
      </w:r>
      <w:r w:rsidRPr="00DD5E6D">
        <w:rPr>
          <w:b/>
          <w:bCs/>
          <w:rtl/>
        </w:rPr>
        <w:t xml:space="preserve">אשר נקבע בפסיקה כי התכלית המונחת בבסיסה, היא לשרת שתי מטרות: ניתוב תיקים בין בתי המשפט השונים למניעת עומס יתר על בית משפט זה או אחר, וקידום נוחות הדיון; בנוגע למטרה </w:t>
      </w:r>
      <w:r w:rsidRPr="00DD5E6D">
        <w:rPr>
          <w:b/>
          <w:bCs/>
          <w:rtl/>
        </w:rPr>
        <w:lastRenderedPageBreak/>
        <w:t xml:space="preserve">הראשונה, הועלה בפסיקה ספק עד כמה אכן מועילים כללי הסמכות המקומית להגשמת המטרה של חלוקה יעילה בין התיקים, והובעה הדעה לפיה יתכן וכוחות השוק עצמם יכולים להגשים תכלית זו טוב יותר. ובאשר למטרה השנייה - בדבר קידום נוחות הדיון - ההנחה היא, כי עדיף לקיים את הדיון בבית המשפט שלו הזיקות הגיאוגרפיות הרבות ביותר לסכסוך נשוא התביעה, שכן אז ייקל על הבאת העדים והראיות בפני בית המשפט, ותקודם נוחות הצדדים בניהול הדיון. על אף שיש מי שפקפק גם בעצם תועלתה של הסמכות המקומית ככלי לקידום הנוחיות, וגרס כי "במדינה קטנה כמדינתנו ממילא אין לייחס משמעות מופרזת לשאלה אם תובענה פלונית מוגשת בתחום סמכותו המקומית של בית משפט זה או אחר". ראו: </w:t>
      </w:r>
      <w:hyperlink r:id="rId12" w:history="1">
        <w:r w:rsidRPr="00DD5E6D">
          <w:rPr>
            <w:rStyle w:val="Hyperlink"/>
            <w:b/>
            <w:bCs/>
            <w:rtl/>
          </w:rPr>
          <w:t>רע"א 188/02 מפעל הפיס נ' כהן, פ"ד נז</w:t>
        </w:r>
      </w:hyperlink>
      <w:r w:rsidRPr="00DD5E6D">
        <w:rPr>
          <w:b/>
          <w:bCs/>
          <w:rtl/>
        </w:rPr>
        <w:t xml:space="preserve">(4) 473, עמ' 477-47; </w:t>
      </w:r>
      <w:hyperlink r:id="rId13" w:history="1">
        <w:r w:rsidRPr="00DD5E6D">
          <w:rPr>
            <w:rStyle w:val="Hyperlink"/>
            <w:b/>
            <w:bCs/>
            <w:rtl/>
            <w:lang w:eastAsia="he-IL"/>
          </w:rPr>
          <w:t>רע"א 6920/94 יאיר לוי נ' צבי פולג, פ"ד מט</w:t>
        </w:r>
      </w:hyperlink>
      <w:r w:rsidRPr="00DD5E6D">
        <w:rPr>
          <w:b/>
          <w:bCs/>
          <w:rtl/>
          <w:lang w:eastAsia="he-IL"/>
        </w:rPr>
        <w:t>(2) 731, 734-735.</w:t>
      </w:r>
      <w:r w:rsidR="00DD5E6D">
        <w:rPr>
          <w:b/>
          <w:bCs/>
          <w:rtl/>
        </w:rPr>
        <w:tab/>
      </w:r>
      <w:r w:rsidR="00DD5E6D">
        <w:rPr>
          <w:rFonts w:hint="cs"/>
          <w:b/>
          <w:bCs/>
          <w:rtl/>
        </w:rPr>
        <w:t>"</w:t>
      </w:r>
    </w:p>
    <w:p w:rsidR="001350F6" w:rsidRPr="001350F6" w:rsidRDefault="001350F6" w:rsidP="001350F6">
      <w:pPr>
        <w:pStyle w:val="ad"/>
        <w:spacing w:line="360" w:lineRule="auto"/>
        <w:jc w:val="both"/>
        <w:rPr>
          <w:rFonts w:ascii="Arial" w:hAnsi="Arial"/>
          <w:noProof w:val="0"/>
        </w:rPr>
      </w:pPr>
    </w:p>
    <w:p w:rsidR="001350F6" w:rsidRPr="001350F6" w:rsidRDefault="001350F6" w:rsidP="00DD5E6D">
      <w:pPr>
        <w:numPr>
          <w:ilvl w:val="0"/>
          <w:numId w:val="1"/>
        </w:numPr>
        <w:spacing w:line="360" w:lineRule="auto"/>
        <w:jc w:val="both"/>
        <w:textAlignment w:val="top"/>
      </w:pPr>
      <w:r>
        <w:rPr>
          <w:rFonts w:hint="cs"/>
          <w:rtl/>
        </w:rPr>
        <w:t>הכ</w:t>
      </w:r>
      <w:r w:rsidR="00DD5E6D">
        <w:rPr>
          <w:rFonts w:hint="cs"/>
          <w:rtl/>
        </w:rPr>
        <w:t>ל</w:t>
      </w:r>
      <w:r>
        <w:rPr>
          <w:rFonts w:hint="cs"/>
          <w:rtl/>
        </w:rPr>
        <w:t>ל הוא כי י</w:t>
      </w:r>
      <w:r>
        <w:rPr>
          <w:rtl/>
        </w:rPr>
        <w:t>ש להגיש תביעה בענייני משפחה בפני הערכאה המצויה במחוז בו מצוי מקום המגורים המשותף האחרון של המשפחה</w:t>
      </w:r>
      <w:r>
        <w:rPr>
          <w:rFonts w:hint="cs"/>
          <w:rtl/>
        </w:rPr>
        <w:t xml:space="preserve">. הרציונל להוראת חוק זו הינו הן בכך שמקום הווצרות עילות התביעה הינו לרוב במקום מגוריהם האחרון המשותף של הצדדים והן </w:t>
      </w:r>
      <w:r>
        <w:rPr>
          <w:rFonts w:ascii="Arial" w:hAnsi="Arial" w:hint="cs"/>
          <w:rtl/>
        </w:rPr>
        <w:t xml:space="preserve">בטעמי יעילות הנוגעים </w:t>
      </w:r>
      <w:r w:rsidR="00DD5E6D">
        <w:rPr>
          <w:rFonts w:ascii="Arial" w:hAnsi="Arial" w:hint="cs"/>
          <w:rtl/>
        </w:rPr>
        <w:t>ל</w:t>
      </w:r>
      <w:r>
        <w:rPr>
          <w:rFonts w:ascii="Arial" w:hAnsi="Arial" w:hint="cs"/>
          <w:rtl/>
        </w:rPr>
        <w:t xml:space="preserve">הבאת ראיות </w:t>
      </w:r>
      <w:r>
        <w:rPr>
          <w:rFonts w:ascii="Arial" w:hAnsi="Arial"/>
          <w:rtl/>
        </w:rPr>
        <w:t xml:space="preserve">הנוגעות לחייהם המשותפים של בני זוג, המצויות, ברוב המקרים, בסביבת מגוריהם האחרונה. ראו: </w:t>
      </w:r>
      <w:hyperlink r:id="rId14" w:history="1">
        <w:r>
          <w:rPr>
            <w:rStyle w:val="Hyperlink"/>
            <w:rFonts w:ascii="Arial" w:hAnsi="Arial"/>
            <w:rtl/>
          </w:rPr>
          <w:t>בר"ע (מחוזי ת"א) 2979/06</w:t>
        </w:r>
      </w:hyperlink>
      <w:r>
        <w:rPr>
          <w:rFonts w:ascii="Arial" w:hAnsi="Arial"/>
          <w:rtl/>
        </w:rPr>
        <w:t xml:space="preserve"> </w:t>
      </w:r>
      <w:r>
        <w:rPr>
          <w:rFonts w:ascii="Arial" w:hAnsi="Arial"/>
          <w:b/>
          <w:bCs/>
          <w:rtl/>
        </w:rPr>
        <w:t>פלונית נ' פלוני</w:t>
      </w:r>
      <w:r>
        <w:rPr>
          <w:rFonts w:ascii="Arial" w:hAnsi="Arial"/>
          <w:rtl/>
        </w:rPr>
        <w:t xml:space="preserve"> </w:t>
      </w:r>
      <w:r>
        <w:rPr>
          <w:sz w:val="22"/>
          <w:rtl/>
        </w:rPr>
        <w:t>[פורסם ב</w:t>
      </w:r>
      <w:r w:rsidR="00DD5E6D">
        <w:rPr>
          <w:rFonts w:hint="cs"/>
          <w:sz w:val="22"/>
          <w:rtl/>
        </w:rPr>
        <w:t>מאגרי פסיקה</w:t>
      </w:r>
      <w:r>
        <w:rPr>
          <w:sz w:val="22"/>
          <w:rtl/>
        </w:rPr>
        <w:t xml:space="preserve">] </w:t>
      </w:r>
      <w:r>
        <w:rPr>
          <w:rFonts w:ascii="Arial" w:hAnsi="Arial" w:hint="cs"/>
          <w:rtl/>
        </w:rPr>
        <w:t>.</w:t>
      </w:r>
    </w:p>
    <w:p w:rsidR="001350F6" w:rsidRDefault="001350F6" w:rsidP="003A1E02">
      <w:pPr>
        <w:spacing w:line="360" w:lineRule="auto"/>
        <w:ind w:left="720"/>
        <w:jc w:val="both"/>
        <w:textAlignment w:val="top"/>
        <w:rPr>
          <w:rFonts w:ascii="Arial" w:hAnsi="Arial"/>
          <w:rtl/>
        </w:rPr>
      </w:pPr>
      <w:r>
        <w:rPr>
          <w:rFonts w:ascii="Arial" w:hAnsi="Arial" w:hint="cs"/>
          <w:rtl/>
        </w:rPr>
        <w:t>אלא שבענייננו מקום המגורים המשותף של הצד</w:t>
      </w:r>
      <w:r w:rsidR="00DD5E6D">
        <w:rPr>
          <w:rFonts w:ascii="Arial" w:hAnsi="Arial" w:hint="cs"/>
          <w:rtl/>
        </w:rPr>
        <w:t>דים היה בארה"ב, שהות האם והקטינ</w:t>
      </w:r>
      <w:r>
        <w:rPr>
          <w:rFonts w:ascii="Arial" w:hAnsi="Arial" w:hint="cs"/>
          <w:rtl/>
        </w:rPr>
        <w:t>ים באזור הדרום הי</w:t>
      </w:r>
      <w:r w:rsidR="00DD5E6D">
        <w:rPr>
          <w:rFonts w:ascii="Arial" w:hAnsi="Arial" w:hint="cs"/>
          <w:rtl/>
        </w:rPr>
        <w:t>ת</w:t>
      </w:r>
      <w:r>
        <w:rPr>
          <w:rFonts w:ascii="Arial" w:hAnsi="Arial" w:hint="cs"/>
          <w:rtl/>
        </w:rPr>
        <w:t>ה ארעית ובשל שהות קצרה במקלט לנשים מוכות, זאת עת</w:t>
      </w:r>
      <w:r w:rsidR="00DD5E6D">
        <w:rPr>
          <w:rFonts w:ascii="Arial" w:hAnsi="Arial" w:hint="cs"/>
          <w:rtl/>
        </w:rPr>
        <w:t xml:space="preserve"> האב עצמו שהה כל הזמן מחוץ למדי</w:t>
      </w:r>
      <w:r>
        <w:rPr>
          <w:rFonts w:ascii="Arial" w:hAnsi="Arial" w:hint="cs"/>
          <w:rtl/>
        </w:rPr>
        <w:t>נ</w:t>
      </w:r>
      <w:r w:rsidR="00DD5E6D">
        <w:rPr>
          <w:rFonts w:ascii="Arial" w:hAnsi="Arial" w:hint="cs"/>
          <w:rtl/>
        </w:rPr>
        <w:t>ת</w:t>
      </w:r>
      <w:r>
        <w:rPr>
          <w:rFonts w:ascii="Arial" w:hAnsi="Arial" w:hint="cs"/>
          <w:rtl/>
        </w:rPr>
        <w:t xml:space="preserve"> ישראל במקום המגורים המשותף </w:t>
      </w:r>
      <w:r w:rsidR="003A1E02">
        <w:rPr>
          <w:rFonts w:ascii="Arial" w:hAnsi="Arial" w:hint="cs"/>
          <w:rtl/>
        </w:rPr>
        <w:t xml:space="preserve">האחרון </w:t>
      </w:r>
      <w:r>
        <w:rPr>
          <w:rFonts w:ascii="Arial" w:hAnsi="Arial" w:hint="cs"/>
          <w:rtl/>
        </w:rPr>
        <w:t>בארה"ב</w:t>
      </w:r>
      <w:r w:rsidR="003A1E02">
        <w:rPr>
          <w:rFonts w:ascii="Arial" w:hAnsi="Arial" w:hint="cs"/>
          <w:rtl/>
        </w:rPr>
        <w:t xml:space="preserve"> וכיום האב עדיין מתגורר בארה"ב </w:t>
      </w:r>
      <w:r w:rsidR="003A1E02" w:rsidRPr="003A1E02">
        <w:rPr>
          <w:rFonts w:ascii="Arial" w:hAnsi="Arial" w:hint="cs"/>
          <w:b/>
          <w:bCs/>
          <w:u w:val="single"/>
          <w:rtl/>
        </w:rPr>
        <w:t>והאם והקטינים מתגוררים בנתניה</w:t>
      </w:r>
      <w:r>
        <w:rPr>
          <w:rFonts w:ascii="Arial" w:hAnsi="Arial" w:hint="cs"/>
          <w:rtl/>
        </w:rPr>
        <w:t>.</w:t>
      </w:r>
    </w:p>
    <w:p w:rsidR="001350F6" w:rsidRDefault="001350F6" w:rsidP="00DD5E6D">
      <w:pPr>
        <w:pStyle w:val="ad"/>
        <w:numPr>
          <w:ilvl w:val="0"/>
          <w:numId w:val="1"/>
        </w:numPr>
        <w:spacing w:line="360" w:lineRule="auto"/>
        <w:jc w:val="both"/>
        <w:rPr>
          <w:rFonts w:ascii="Arial" w:hAnsi="Arial"/>
          <w:noProof w:val="0"/>
        </w:rPr>
      </w:pPr>
      <w:r>
        <w:rPr>
          <w:rFonts w:ascii="Arial" w:hAnsi="Arial" w:hint="cs"/>
          <w:noProof w:val="0"/>
          <w:rtl/>
        </w:rPr>
        <w:t xml:space="preserve">התובעת טוענת כי "מעדיפה" לנסוע מנתניה לבאר שבע לצורך בירור ההליך , אלא שענין זה </w:t>
      </w:r>
      <w:r w:rsidR="00DD5E6D">
        <w:rPr>
          <w:rFonts w:ascii="Arial" w:hAnsi="Arial" w:hint="cs"/>
          <w:noProof w:val="0"/>
          <w:rtl/>
        </w:rPr>
        <w:t>של העדפותיה איננו שיקול עפ"י ה</w:t>
      </w:r>
      <w:r>
        <w:rPr>
          <w:rFonts w:ascii="Arial" w:hAnsi="Arial" w:hint="cs"/>
          <w:noProof w:val="0"/>
          <w:rtl/>
        </w:rPr>
        <w:t>ת</w:t>
      </w:r>
      <w:r w:rsidR="00DD5E6D">
        <w:rPr>
          <w:rFonts w:ascii="Arial" w:hAnsi="Arial" w:hint="cs"/>
          <w:noProof w:val="0"/>
          <w:rtl/>
        </w:rPr>
        <w:t>ק</w:t>
      </w:r>
      <w:r>
        <w:rPr>
          <w:rFonts w:ascii="Arial" w:hAnsi="Arial" w:hint="cs"/>
          <w:noProof w:val="0"/>
          <w:rtl/>
        </w:rPr>
        <w:t>נות הרלוונטיות.</w:t>
      </w:r>
    </w:p>
    <w:p w:rsidR="00804016" w:rsidRDefault="001350F6" w:rsidP="00E56DAF">
      <w:pPr>
        <w:pStyle w:val="ad"/>
        <w:numPr>
          <w:ilvl w:val="0"/>
          <w:numId w:val="1"/>
        </w:numPr>
        <w:spacing w:line="360" w:lineRule="auto"/>
        <w:jc w:val="both"/>
        <w:textAlignment w:val="top"/>
      </w:pPr>
      <w:r>
        <w:rPr>
          <w:rFonts w:hint="cs"/>
          <w:rtl/>
        </w:rPr>
        <w:t>עפ"י הסיפא לתקנה 6(א) לתקנות סדרי הד</w:t>
      </w:r>
      <w:r w:rsidR="00DD5E6D">
        <w:rPr>
          <w:rFonts w:hint="cs"/>
          <w:rtl/>
        </w:rPr>
        <w:t>י</w:t>
      </w:r>
      <w:r>
        <w:rPr>
          <w:rFonts w:hint="cs"/>
          <w:rtl/>
        </w:rPr>
        <w:t xml:space="preserve">ן </w:t>
      </w:r>
      <w:r w:rsidR="00E56DAF">
        <w:rPr>
          <w:rFonts w:hint="cs"/>
          <w:rtl/>
        </w:rPr>
        <w:t>בימ"ש למשפחה</w:t>
      </w:r>
      <w:r>
        <w:rPr>
          <w:rFonts w:hint="cs"/>
          <w:rtl/>
        </w:rPr>
        <w:t xml:space="preserve">, </w:t>
      </w:r>
      <w:r>
        <w:rPr>
          <w:rtl/>
        </w:rPr>
        <w:t>מבחינת תכלית החקיקה, בתביעת מזונות קטין</w:t>
      </w:r>
      <w:r w:rsidR="00804016">
        <w:rPr>
          <w:rFonts w:hint="cs"/>
          <w:rtl/>
        </w:rPr>
        <w:t xml:space="preserve"> ועל אחת כמה וכמה בת</w:t>
      </w:r>
      <w:r w:rsidR="00DD5E6D">
        <w:rPr>
          <w:rFonts w:hint="cs"/>
          <w:rtl/>
        </w:rPr>
        <w:t>ב</w:t>
      </w:r>
      <w:r w:rsidR="00804016">
        <w:rPr>
          <w:rFonts w:hint="cs"/>
          <w:rtl/>
        </w:rPr>
        <w:t>יעה בענין זמני שהות או בת</w:t>
      </w:r>
      <w:r w:rsidR="00DD5E6D">
        <w:rPr>
          <w:rFonts w:hint="cs"/>
          <w:rtl/>
        </w:rPr>
        <w:t>ב</w:t>
      </w:r>
      <w:r w:rsidR="003A1E02">
        <w:rPr>
          <w:rFonts w:hint="cs"/>
          <w:rtl/>
        </w:rPr>
        <w:t>יעה להח</w:t>
      </w:r>
      <w:r w:rsidR="00804016">
        <w:rPr>
          <w:rFonts w:hint="cs"/>
          <w:rtl/>
        </w:rPr>
        <w:t xml:space="preserve">זרת קטינים עפ"י אמנת האג החזקת ילדים חטופים, </w:t>
      </w:r>
      <w:r>
        <w:rPr>
          <w:rtl/>
        </w:rPr>
        <w:t>יש ליתן משקל למקום מגורי הקטין</w:t>
      </w:r>
      <w:r w:rsidR="00804016">
        <w:rPr>
          <w:rFonts w:hint="cs"/>
          <w:rtl/>
        </w:rPr>
        <w:t>.</w:t>
      </w:r>
    </w:p>
    <w:p w:rsidR="00804016" w:rsidRDefault="00804016" w:rsidP="00E56DAF">
      <w:pPr>
        <w:pStyle w:val="ad"/>
        <w:numPr>
          <w:ilvl w:val="0"/>
          <w:numId w:val="1"/>
        </w:numPr>
        <w:spacing w:line="360" w:lineRule="auto"/>
        <w:jc w:val="both"/>
        <w:textAlignment w:val="top"/>
      </w:pPr>
      <w:r>
        <w:rPr>
          <w:rFonts w:hint="cs"/>
          <w:rtl/>
        </w:rPr>
        <w:t xml:space="preserve">במקרה כזה </w:t>
      </w:r>
      <w:r w:rsidR="001350F6">
        <w:rPr>
          <w:rtl/>
        </w:rPr>
        <w:t xml:space="preserve">לבית המשפט אכן מסור שיקול דעת להורות על העברת הדיון לבית משפט אחר, כאשר שיקול דעת </w:t>
      </w:r>
      <w:r>
        <w:rPr>
          <w:rFonts w:hint="cs"/>
          <w:rtl/>
        </w:rPr>
        <w:t>מונהג בראש וברא</w:t>
      </w:r>
      <w:r w:rsidR="006404B4">
        <w:rPr>
          <w:rFonts w:hint="cs"/>
          <w:rtl/>
        </w:rPr>
        <w:t>שו</w:t>
      </w:r>
      <w:r>
        <w:rPr>
          <w:rFonts w:hint="cs"/>
          <w:rtl/>
        </w:rPr>
        <w:t>נה בהתאם לטובת הקטינים, התחשבות בנסיבות חייהם, מק</w:t>
      </w:r>
      <w:r w:rsidR="006404B4">
        <w:rPr>
          <w:rFonts w:hint="cs"/>
          <w:rtl/>
        </w:rPr>
        <w:t xml:space="preserve">ום </w:t>
      </w:r>
      <w:r>
        <w:rPr>
          <w:rFonts w:hint="cs"/>
          <w:rtl/>
        </w:rPr>
        <w:t>מ</w:t>
      </w:r>
      <w:r w:rsidR="006404B4">
        <w:rPr>
          <w:rFonts w:hint="cs"/>
          <w:rtl/>
        </w:rPr>
        <w:t>ג</w:t>
      </w:r>
      <w:r>
        <w:rPr>
          <w:rFonts w:hint="cs"/>
          <w:rtl/>
        </w:rPr>
        <w:t>וריהם ולרבות האפשרות כי יוזמנו לשיחה עם המחלקה לשמיעת קטינים או עם השופט היושב בדין וכן ייפגשו עם ג</w:t>
      </w:r>
      <w:r w:rsidR="006404B4">
        <w:rPr>
          <w:rFonts w:hint="cs"/>
          <w:rtl/>
        </w:rPr>
        <w:t>ו</w:t>
      </w:r>
      <w:r>
        <w:rPr>
          <w:rFonts w:hint="cs"/>
          <w:rtl/>
        </w:rPr>
        <w:t>ר</w:t>
      </w:r>
      <w:r w:rsidR="006404B4">
        <w:rPr>
          <w:rFonts w:hint="cs"/>
          <w:rtl/>
        </w:rPr>
        <w:t>מי הטיפול במקו</w:t>
      </w:r>
      <w:r>
        <w:rPr>
          <w:rFonts w:hint="cs"/>
          <w:rtl/>
        </w:rPr>
        <w:t xml:space="preserve">ם מגוריהם לצורך </w:t>
      </w:r>
      <w:r w:rsidR="00E56DAF">
        <w:rPr>
          <w:rFonts w:hint="cs"/>
          <w:rtl/>
        </w:rPr>
        <w:t xml:space="preserve">עריכת </w:t>
      </w:r>
      <w:r>
        <w:rPr>
          <w:rFonts w:hint="cs"/>
          <w:rtl/>
        </w:rPr>
        <w:t>חוו"ד מקצועית בסוגיות הנוגעות להם.</w:t>
      </w:r>
    </w:p>
    <w:p w:rsidR="001350F6" w:rsidRPr="003A1E02" w:rsidRDefault="00804016" w:rsidP="006404B4">
      <w:pPr>
        <w:pStyle w:val="ad"/>
        <w:numPr>
          <w:ilvl w:val="0"/>
          <w:numId w:val="1"/>
        </w:numPr>
        <w:spacing w:line="360" w:lineRule="auto"/>
        <w:jc w:val="both"/>
        <w:rPr>
          <w:rFonts w:ascii="Arial" w:hAnsi="Arial"/>
          <w:b/>
          <w:bCs/>
          <w:noProof w:val="0"/>
        </w:rPr>
      </w:pPr>
      <w:r>
        <w:rPr>
          <w:rFonts w:ascii="Arial" w:hAnsi="Arial" w:hint="cs"/>
          <w:noProof w:val="0"/>
          <w:rtl/>
        </w:rPr>
        <w:lastRenderedPageBreak/>
        <w:t xml:space="preserve">בנסיבות אלו </w:t>
      </w:r>
      <w:r w:rsidRPr="003A1E02">
        <w:rPr>
          <w:rFonts w:ascii="Arial" w:hAnsi="Arial" w:hint="cs"/>
          <w:b/>
          <w:bCs/>
          <w:noProof w:val="0"/>
          <w:rtl/>
        </w:rPr>
        <w:t>יש להעד</w:t>
      </w:r>
      <w:r w:rsidR="00411DD3" w:rsidRPr="003A1E02">
        <w:rPr>
          <w:rFonts w:ascii="Arial" w:hAnsi="Arial" w:hint="cs"/>
          <w:b/>
          <w:bCs/>
          <w:noProof w:val="0"/>
          <w:rtl/>
        </w:rPr>
        <w:t>י</w:t>
      </w:r>
      <w:r w:rsidRPr="003A1E02">
        <w:rPr>
          <w:rFonts w:ascii="Arial" w:hAnsi="Arial" w:hint="cs"/>
          <w:b/>
          <w:bCs/>
          <w:noProof w:val="0"/>
          <w:rtl/>
        </w:rPr>
        <w:t>ף שיקולים של תכלית חקיקה, יעלות הבאת ראיות וטובת הקטינים על פני הבחירה השרירותית של התובעת להגיש ו"להעדיף" שתביעותיה יתנהלו בביהמ"ש בבאר שבע.</w:t>
      </w:r>
    </w:p>
    <w:p w:rsidR="00804016" w:rsidRPr="003A1E02" w:rsidRDefault="00804016" w:rsidP="00494646">
      <w:pPr>
        <w:pStyle w:val="ad"/>
        <w:numPr>
          <w:ilvl w:val="0"/>
          <w:numId w:val="1"/>
        </w:numPr>
        <w:spacing w:line="360" w:lineRule="auto"/>
        <w:jc w:val="both"/>
        <w:rPr>
          <w:rFonts w:ascii="Arial" w:hAnsi="Arial"/>
          <w:b/>
          <w:bCs/>
          <w:noProof w:val="0"/>
        </w:rPr>
      </w:pPr>
      <w:r>
        <w:rPr>
          <w:rFonts w:ascii="Arial" w:hAnsi="Arial" w:hint="cs"/>
          <w:noProof w:val="0"/>
          <w:rtl/>
        </w:rPr>
        <w:t>אני ערה ל</w:t>
      </w:r>
      <w:r w:rsidR="00494646">
        <w:rPr>
          <w:rFonts w:ascii="Arial" w:hAnsi="Arial" w:hint="cs"/>
          <w:noProof w:val="0"/>
          <w:rtl/>
        </w:rPr>
        <w:t xml:space="preserve">החלטה בדבר </w:t>
      </w:r>
      <w:r>
        <w:rPr>
          <w:rFonts w:ascii="Arial" w:hAnsi="Arial" w:hint="cs"/>
          <w:noProof w:val="0"/>
          <w:rtl/>
        </w:rPr>
        <w:t xml:space="preserve">העברת </w:t>
      </w:r>
      <w:r w:rsidR="00494646">
        <w:rPr>
          <w:rFonts w:ascii="Arial" w:hAnsi="Arial" w:hint="cs"/>
          <w:noProof w:val="0"/>
          <w:rtl/>
        </w:rPr>
        <w:t xml:space="preserve">אחת מהתובענות, זו </w:t>
      </w:r>
      <w:r w:rsidR="00563279">
        <w:rPr>
          <w:rFonts w:ascii="Arial" w:hAnsi="Arial" w:hint="cs"/>
          <w:noProof w:val="0"/>
          <w:rtl/>
        </w:rPr>
        <w:t>השלישית, המאוחרת,</w:t>
      </w:r>
      <w:r>
        <w:rPr>
          <w:rFonts w:ascii="Arial" w:hAnsi="Arial" w:hint="cs"/>
          <w:noProof w:val="0"/>
          <w:rtl/>
        </w:rPr>
        <w:t xml:space="preserve"> בעקבות התביעות הקודמות</w:t>
      </w:r>
      <w:r w:rsidR="00494646">
        <w:rPr>
          <w:rFonts w:ascii="Arial" w:hAnsi="Arial" w:hint="cs"/>
          <w:noProof w:val="0"/>
          <w:rtl/>
        </w:rPr>
        <w:t>,</w:t>
      </w:r>
      <w:r>
        <w:rPr>
          <w:rFonts w:ascii="Arial" w:hAnsi="Arial" w:hint="cs"/>
          <w:noProof w:val="0"/>
          <w:rtl/>
        </w:rPr>
        <w:t xml:space="preserve"> לבימ"ש זה </w:t>
      </w:r>
      <w:r w:rsidR="00411DD3">
        <w:rPr>
          <w:rFonts w:ascii="Arial" w:hAnsi="Arial" w:hint="cs"/>
          <w:noProof w:val="0"/>
          <w:rtl/>
        </w:rPr>
        <w:t>ול</w:t>
      </w:r>
      <w:r w:rsidR="00563279">
        <w:rPr>
          <w:rFonts w:ascii="Arial" w:hAnsi="Arial" w:hint="cs"/>
          <w:noProof w:val="0"/>
          <w:rtl/>
        </w:rPr>
        <w:t xml:space="preserve">הוראות סע' </w:t>
      </w:r>
      <w:r w:rsidR="00494646">
        <w:rPr>
          <w:rFonts w:ascii="Arial" w:hAnsi="Arial" w:hint="cs"/>
          <w:noProof w:val="0"/>
          <w:rtl/>
        </w:rPr>
        <w:t>78 (ג) לחוק בתי המשפט</w:t>
      </w:r>
      <w:r w:rsidR="00411DD3">
        <w:rPr>
          <w:rFonts w:ascii="Arial" w:hAnsi="Arial" w:hint="cs"/>
          <w:noProof w:val="0"/>
          <w:rtl/>
        </w:rPr>
        <w:t>,</w:t>
      </w:r>
      <w:r w:rsidR="00792313">
        <w:rPr>
          <w:rFonts w:ascii="Arial" w:hAnsi="Arial" w:hint="cs"/>
          <w:noProof w:val="0"/>
          <w:rtl/>
        </w:rPr>
        <w:t xml:space="preserve"> </w:t>
      </w:r>
      <w:r>
        <w:rPr>
          <w:rFonts w:ascii="Arial" w:hAnsi="Arial" w:hint="cs"/>
          <w:noProof w:val="0"/>
          <w:rtl/>
        </w:rPr>
        <w:t xml:space="preserve">אלא שסבורני כי </w:t>
      </w:r>
      <w:r w:rsidRPr="003A1E02">
        <w:rPr>
          <w:rFonts w:ascii="Arial" w:hAnsi="Arial"/>
          <w:b/>
          <w:bCs/>
          <w:rtl/>
        </w:rPr>
        <w:t xml:space="preserve">הוראת </w:t>
      </w:r>
      <w:hyperlink r:id="rId15" w:history="1">
        <w:r w:rsidRPr="003A1E02">
          <w:rPr>
            <w:rStyle w:val="Hyperlink"/>
            <w:rFonts w:ascii="Arial" w:hAnsi="Arial"/>
            <w:b/>
            <w:bCs/>
            <w:color w:val="auto"/>
            <w:rtl/>
          </w:rPr>
          <w:t>סעיף 6</w:t>
        </w:r>
      </w:hyperlink>
      <w:r w:rsidRPr="003A1E02">
        <w:rPr>
          <w:rFonts w:ascii="Arial" w:hAnsi="Arial"/>
          <w:b/>
          <w:bCs/>
          <w:u w:val="single"/>
          <w:rtl/>
        </w:rPr>
        <w:t xml:space="preserve"> </w:t>
      </w:r>
      <w:r w:rsidR="00603092" w:rsidRPr="003A1E02">
        <w:rPr>
          <w:rFonts w:ascii="Arial" w:hAnsi="Arial" w:hint="cs"/>
          <w:b/>
          <w:bCs/>
          <w:u w:val="single"/>
          <w:rtl/>
        </w:rPr>
        <w:t xml:space="preserve">(ד) </w:t>
      </w:r>
      <w:r w:rsidRPr="003A1E02">
        <w:rPr>
          <w:rFonts w:ascii="Arial" w:hAnsi="Arial"/>
          <w:b/>
          <w:bCs/>
          <w:u w:val="single"/>
          <w:rtl/>
        </w:rPr>
        <w:t>ל</w:t>
      </w:r>
      <w:hyperlink r:id="rId16" w:history="1">
        <w:r w:rsidRPr="003A1E02">
          <w:rPr>
            <w:rStyle w:val="Hyperlink"/>
            <w:rFonts w:ascii="Arial" w:hAnsi="Arial"/>
            <w:b/>
            <w:bCs/>
            <w:color w:val="auto"/>
            <w:rtl/>
          </w:rPr>
          <w:t>חוק בית המשפט לענייני משפחה</w:t>
        </w:r>
      </w:hyperlink>
      <w:r w:rsidRPr="003A1E02">
        <w:rPr>
          <w:rFonts w:ascii="Arial" w:hAnsi="Arial" w:hint="cs"/>
          <w:b/>
          <w:bCs/>
          <w:rtl/>
        </w:rPr>
        <w:t xml:space="preserve"> וה</w:t>
      </w:r>
      <w:r w:rsidR="006404B4" w:rsidRPr="003A1E02">
        <w:rPr>
          <w:rFonts w:ascii="Arial" w:hAnsi="Arial" w:hint="cs"/>
          <w:b/>
          <w:bCs/>
          <w:rtl/>
        </w:rPr>
        <w:t>ו</w:t>
      </w:r>
      <w:r w:rsidRPr="003A1E02">
        <w:rPr>
          <w:rFonts w:ascii="Arial" w:hAnsi="Arial" w:hint="cs"/>
          <w:b/>
          <w:bCs/>
          <w:rtl/>
        </w:rPr>
        <w:t xml:space="preserve">ראות </w:t>
      </w:r>
      <w:r w:rsidRPr="003A1E02">
        <w:rPr>
          <w:rFonts w:ascii="Arial" w:hAnsi="Arial" w:hint="cs"/>
          <w:b/>
          <w:bCs/>
          <w:u w:val="single"/>
          <w:rtl/>
        </w:rPr>
        <w:t>תקנה 6(א) לתקנות</w:t>
      </w:r>
      <w:r w:rsidR="006404B4" w:rsidRPr="003A1E02">
        <w:rPr>
          <w:rFonts w:ascii="Arial" w:hAnsi="Arial" w:hint="cs"/>
          <w:b/>
          <w:bCs/>
          <w:u w:val="single"/>
          <w:rtl/>
        </w:rPr>
        <w:t xml:space="preserve"> </w:t>
      </w:r>
      <w:r w:rsidR="00563279" w:rsidRPr="003A1E02">
        <w:rPr>
          <w:rFonts w:ascii="Arial" w:hAnsi="Arial" w:hint="cs"/>
          <w:b/>
          <w:bCs/>
          <w:u w:val="single"/>
          <w:rtl/>
        </w:rPr>
        <w:t>ס</w:t>
      </w:r>
      <w:r w:rsidR="006404B4" w:rsidRPr="003A1E02">
        <w:rPr>
          <w:rFonts w:ascii="Arial" w:hAnsi="Arial" w:hint="cs"/>
          <w:b/>
          <w:bCs/>
          <w:u w:val="single"/>
          <w:rtl/>
        </w:rPr>
        <w:t>דרי הדין בבימ"ש למשפחה</w:t>
      </w:r>
      <w:r w:rsidRPr="003A1E02">
        <w:rPr>
          <w:rFonts w:ascii="Arial" w:hAnsi="Arial" w:hint="cs"/>
          <w:b/>
          <w:bCs/>
          <w:rtl/>
        </w:rPr>
        <w:t xml:space="preserve">, הן הוראות </w:t>
      </w:r>
      <w:r w:rsidRPr="003A1E02">
        <w:rPr>
          <w:rFonts w:ascii="Arial" w:hAnsi="Arial"/>
          <w:b/>
          <w:bCs/>
          <w:rtl/>
        </w:rPr>
        <w:t>חוק ספציפי</w:t>
      </w:r>
      <w:r w:rsidRPr="003A1E02">
        <w:rPr>
          <w:rFonts w:ascii="Arial" w:hAnsi="Arial" w:hint="cs"/>
          <w:b/>
          <w:bCs/>
          <w:rtl/>
        </w:rPr>
        <w:t>ו</w:t>
      </w:r>
      <w:r w:rsidRPr="003A1E02">
        <w:rPr>
          <w:rFonts w:ascii="Arial" w:hAnsi="Arial"/>
          <w:b/>
          <w:bCs/>
          <w:rtl/>
        </w:rPr>
        <w:t>ת הגובר</w:t>
      </w:r>
      <w:r w:rsidRPr="003A1E02">
        <w:rPr>
          <w:rFonts w:ascii="Arial" w:hAnsi="Arial" w:hint="cs"/>
          <w:b/>
          <w:bCs/>
          <w:rtl/>
        </w:rPr>
        <w:t>ו</w:t>
      </w:r>
      <w:r w:rsidRPr="003A1E02">
        <w:rPr>
          <w:rFonts w:ascii="Arial" w:hAnsi="Arial"/>
          <w:b/>
          <w:bCs/>
          <w:rtl/>
        </w:rPr>
        <w:t>ת על הוראת חוק כללית</w:t>
      </w:r>
      <w:r w:rsidR="00494646" w:rsidRPr="003A1E02">
        <w:rPr>
          <w:rFonts w:ascii="Arial" w:hAnsi="Arial" w:hint="cs"/>
          <w:b/>
          <w:bCs/>
          <w:rtl/>
        </w:rPr>
        <w:t xml:space="preserve">, זאת </w:t>
      </w:r>
      <w:r w:rsidRPr="003A1E02">
        <w:rPr>
          <w:rFonts w:ascii="Arial" w:hAnsi="Arial"/>
          <w:b/>
          <w:bCs/>
          <w:rtl/>
        </w:rPr>
        <w:t xml:space="preserve">על פי כללי הפרשנות המקובלים. </w:t>
      </w:r>
    </w:p>
    <w:p w:rsidR="00563279" w:rsidRPr="00804016" w:rsidRDefault="00563279" w:rsidP="00494646">
      <w:pPr>
        <w:pStyle w:val="ad"/>
        <w:spacing w:line="360" w:lineRule="auto"/>
        <w:jc w:val="both"/>
        <w:rPr>
          <w:rFonts w:ascii="Arial" w:hAnsi="Arial"/>
          <w:noProof w:val="0"/>
        </w:rPr>
      </w:pPr>
      <w:r>
        <w:rPr>
          <w:rFonts w:ascii="Arial" w:hAnsi="Arial" w:hint="cs"/>
          <w:noProof w:val="0"/>
          <w:rtl/>
        </w:rPr>
        <w:t>טובת הקטינים ויע</w:t>
      </w:r>
      <w:r w:rsidR="00494646">
        <w:rPr>
          <w:rFonts w:ascii="Arial" w:hAnsi="Arial" w:hint="cs"/>
          <w:noProof w:val="0"/>
          <w:rtl/>
        </w:rPr>
        <w:t>י</w:t>
      </w:r>
      <w:r>
        <w:rPr>
          <w:rFonts w:ascii="Arial" w:hAnsi="Arial" w:hint="cs"/>
          <w:noProof w:val="0"/>
          <w:rtl/>
        </w:rPr>
        <w:t>לות הדיון מחייבת ניהול ההליכים, בביהמ"ש המוסמך והקרוב</w:t>
      </w:r>
      <w:r w:rsidR="00494646">
        <w:rPr>
          <w:rFonts w:ascii="Arial" w:hAnsi="Arial" w:hint="cs"/>
          <w:noProof w:val="0"/>
          <w:rtl/>
        </w:rPr>
        <w:t xml:space="preserve"> </w:t>
      </w:r>
      <w:r>
        <w:rPr>
          <w:rFonts w:ascii="Arial" w:hAnsi="Arial" w:hint="cs"/>
          <w:noProof w:val="0"/>
          <w:rtl/>
        </w:rPr>
        <w:t>למקום מגורי הקטינים שלהם יידרשו נוכח נושא התב</w:t>
      </w:r>
      <w:r w:rsidR="00494646">
        <w:rPr>
          <w:rFonts w:ascii="Arial" w:hAnsi="Arial" w:hint="cs"/>
          <w:noProof w:val="0"/>
          <w:rtl/>
        </w:rPr>
        <w:t>י</w:t>
      </w:r>
      <w:r>
        <w:rPr>
          <w:rFonts w:ascii="Arial" w:hAnsi="Arial" w:hint="cs"/>
          <w:noProof w:val="0"/>
          <w:rtl/>
        </w:rPr>
        <w:t>ע</w:t>
      </w:r>
      <w:r w:rsidR="00494646">
        <w:rPr>
          <w:rFonts w:ascii="Arial" w:hAnsi="Arial" w:hint="cs"/>
          <w:noProof w:val="0"/>
          <w:rtl/>
        </w:rPr>
        <w:t>ו</w:t>
      </w:r>
      <w:r>
        <w:rPr>
          <w:rFonts w:ascii="Arial" w:hAnsi="Arial" w:hint="cs"/>
          <w:noProof w:val="0"/>
          <w:rtl/>
        </w:rPr>
        <w:t>ת</w:t>
      </w:r>
      <w:r w:rsidR="00494646">
        <w:rPr>
          <w:rFonts w:ascii="Arial" w:hAnsi="Arial" w:hint="cs"/>
          <w:noProof w:val="0"/>
          <w:rtl/>
        </w:rPr>
        <w:t xml:space="preserve">, יש להניח, </w:t>
      </w:r>
      <w:r>
        <w:rPr>
          <w:rFonts w:ascii="Arial" w:hAnsi="Arial" w:hint="cs"/>
          <w:noProof w:val="0"/>
          <w:rtl/>
        </w:rPr>
        <w:t xml:space="preserve"> אנשי מקצוע אף הם מאותו מרחב גא</w:t>
      </w:r>
      <w:r w:rsidR="00494646">
        <w:rPr>
          <w:rFonts w:ascii="Arial" w:hAnsi="Arial" w:hint="cs"/>
          <w:noProof w:val="0"/>
          <w:rtl/>
        </w:rPr>
        <w:t>ו</w:t>
      </w:r>
      <w:r>
        <w:rPr>
          <w:rFonts w:ascii="Arial" w:hAnsi="Arial" w:hint="cs"/>
          <w:noProof w:val="0"/>
          <w:rtl/>
        </w:rPr>
        <w:t>גרפי. איני רואה כל הצדקה להעמיס על הקושי המובנה ג</w:t>
      </w:r>
      <w:r w:rsidR="00494646">
        <w:rPr>
          <w:rFonts w:ascii="Arial" w:hAnsi="Arial" w:hint="cs"/>
          <w:noProof w:val="0"/>
          <w:rtl/>
        </w:rPr>
        <w:t>ם</w:t>
      </w:r>
      <w:r>
        <w:rPr>
          <w:rFonts w:ascii="Arial" w:hAnsi="Arial" w:hint="cs"/>
          <w:noProof w:val="0"/>
          <w:rtl/>
        </w:rPr>
        <w:t xml:space="preserve"> כך בניהול הליך,</w:t>
      </w:r>
      <w:r w:rsidR="00494646">
        <w:rPr>
          <w:rFonts w:ascii="Arial" w:hAnsi="Arial" w:hint="cs"/>
          <w:noProof w:val="0"/>
          <w:rtl/>
        </w:rPr>
        <w:t xml:space="preserve"> </w:t>
      </w:r>
      <w:r>
        <w:rPr>
          <w:rFonts w:ascii="Arial" w:hAnsi="Arial" w:hint="cs"/>
          <w:noProof w:val="0"/>
          <w:rtl/>
        </w:rPr>
        <w:t>את ההכרח לנסוע מאות קילומטרים לבאר שבע ללא הצדקה משפטית ואפיל</w:t>
      </w:r>
      <w:r w:rsidR="003A1E02">
        <w:rPr>
          <w:rFonts w:ascii="Arial" w:hAnsi="Arial" w:hint="cs"/>
          <w:noProof w:val="0"/>
          <w:rtl/>
        </w:rPr>
        <w:t>ו</w:t>
      </w:r>
      <w:r>
        <w:rPr>
          <w:rFonts w:ascii="Arial" w:hAnsi="Arial" w:hint="cs"/>
          <w:noProof w:val="0"/>
          <w:rtl/>
        </w:rPr>
        <w:t xml:space="preserve"> לא פרוצדורלית שעה שטרם החל ניהול ההליכים</w:t>
      </w:r>
      <w:r w:rsidR="00494646">
        <w:rPr>
          <w:rFonts w:ascii="Arial" w:hAnsi="Arial" w:hint="cs"/>
          <w:noProof w:val="0"/>
          <w:rtl/>
        </w:rPr>
        <w:t xml:space="preserve"> בבימ"ש זה</w:t>
      </w:r>
      <w:r>
        <w:rPr>
          <w:rFonts w:ascii="Arial" w:hAnsi="Arial" w:hint="cs"/>
          <w:noProof w:val="0"/>
          <w:rtl/>
        </w:rPr>
        <w:t>.</w:t>
      </w:r>
    </w:p>
    <w:p w:rsidR="00804016" w:rsidRPr="00804016" w:rsidRDefault="00804016" w:rsidP="00E501B6">
      <w:pPr>
        <w:pStyle w:val="ad"/>
        <w:numPr>
          <w:ilvl w:val="0"/>
          <w:numId w:val="1"/>
        </w:numPr>
        <w:spacing w:line="360" w:lineRule="auto"/>
        <w:jc w:val="both"/>
        <w:rPr>
          <w:rFonts w:ascii="Arial" w:hAnsi="Arial"/>
          <w:noProof w:val="0"/>
        </w:rPr>
      </w:pPr>
      <w:r>
        <w:rPr>
          <w:rFonts w:hint="cs"/>
          <w:rtl/>
        </w:rPr>
        <w:t>מכל האמור והמקובץ לעיל אני מורה על העברת שלושת התביעות שבכותרת להתברר בבימ"ש ל</w:t>
      </w:r>
      <w:r w:rsidR="00E501B6">
        <w:rPr>
          <w:rFonts w:hint="cs"/>
          <w:rtl/>
        </w:rPr>
        <w:t>ענייני משפחה</w:t>
      </w:r>
      <w:r>
        <w:rPr>
          <w:rFonts w:hint="cs"/>
          <w:rtl/>
        </w:rPr>
        <w:t xml:space="preserve"> בפתח תקווה, לו נתונה הסמכות לדון בעניינם של הקטינים המתגוררים בנתניה.</w:t>
      </w:r>
    </w:p>
    <w:p w:rsidR="00804016" w:rsidRPr="00514BD6" w:rsidRDefault="00804016" w:rsidP="00804016">
      <w:pPr>
        <w:pStyle w:val="ad"/>
        <w:numPr>
          <w:ilvl w:val="0"/>
          <w:numId w:val="1"/>
        </w:numPr>
        <w:spacing w:line="360" w:lineRule="auto"/>
        <w:jc w:val="both"/>
        <w:rPr>
          <w:rFonts w:ascii="Arial" w:hAnsi="Arial"/>
          <w:noProof w:val="0"/>
        </w:rPr>
      </w:pPr>
      <w:r>
        <w:rPr>
          <w:rFonts w:hint="cs"/>
          <w:rtl/>
        </w:rPr>
        <w:t>המזכירות תואיל נא ותסדיר העברת התיקים.</w:t>
      </w:r>
    </w:p>
    <w:p w:rsidR="00514BD6" w:rsidRDefault="00514BD6" w:rsidP="00804016">
      <w:pPr>
        <w:pStyle w:val="ad"/>
        <w:numPr>
          <w:ilvl w:val="0"/>
          <w:numId w:val="1"/>
        </w:numPr>
        <w:spacing w:line="360" w:lineRule="auto"/>
        <w:jc w:val="both"/>
        <w:rPr>
          <w:rFonts w:ascii="Arial" w:hAnsi="Arial"/>
          <w:noProof w:val="0"/>
        </w:rPr>
      </w:pPr>
      <w:r>
        <w:rPr>
          <w:rFonts w:hint="cs"/>
          <w:rtl/>
        </w:rPr>
        <w:t>החלטתי תועבר לעיון וטיפול סגנית הנשיא לענייני משפחה במחוז מרכז, כב' השופטת חגית מטלין</w:t>
      </w:r>
      <w:r w:rsidR="00E501B6">
        <w:rPr>
          <w:rFonts w:hint="cs"/>
          <w:rtl/>
        </w:rPr>
        <w:t xml:space="preserve"> לצורך ניתוב התיק</w:t>
      </w:r>
      <w:r>
        <w:rPr>
          <w:rFonts w:hint="cs"/>
          <w:rtl/>
        </w:rPr>
        <w:t>.</w:t>
      </w:r>
    </w:p>
    <w:p w:rsidR="00514BD6" w:rsidRPr="003A1E02" w:rsidRDefault="003A1E02" w:rsidP="00E01BAA">
      <w:pPr>
        <w:pStyle w:val="ad"/>
        <w:numPr>
          <w:ilvl w:val="0"/>
          <w:numId w:val="1"/>
        </w:numPr>
        <w:spacing w:line="360" w:lineRule="auto"/>
        <w:jc w:val="both"/>
        <w:rPr>
          <w:rFonts w:ascii="Arial" w:hAnsi="Arial"/>
          <w:noProof w:val="0"/>
          <w:rtl/>
        </w:rPr>
      </w:pPr>
      <w:r w:rsidRPr="003A1E02">
        <w:rPr>
          <w:rFonts w:ascii="Arial" w:hAnsi="Arial" w:hint="cs"/>
          <w:noProof w:val="0"/>
          <w:rtl/>
        </w:rPr>
        <w:t>מתירה העברה למאגרי פסיקה בהשמטת פרטים מזהים.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מאי 2024</w:t>
          </w:r>
        </w:sdtContent>
      </w:sdt>
      <w:r w:rsidR="00005C8B">
        <w:rPr>
          <w:rFonts w:ascii="Arial" w:hAnsi="Arial"/>
          <w:noProof w:val="0"/>
          <w:rtl/>
        </w:rPr>
        <w:t>, בהעדר הצדדים.</w:t>
      </w:r>
    </w:p>
    <w:p w:rsidR="00C43648" w:rsidRDefault="008024F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06008493"/>
        </w:sdtPr>
        <w:sdtEndPr/>
        <w:sdtContent>
          <w:r w:rsidR="00942BA1">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8"/>
      <w:headerReference w:type="default" r:id="rId19"/>
      <w:footerReference w:type="even" r:id="rId20"/>
      <w:footerReference w:type="default" r:id="rId21"/>
      <w:headerReference w:type="first" r:id="rId22"/>
      <w:footerReference w:type="first" r:id="rId2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4F6" w:rsidRDefault="008024F6">
      <w:r>
        <w:separator/>
      </w:r>
    </w:p>
  </w:endnote>
  <w:endnote w:type="continuationSeparator" w:id="0">
    <w:p w:rsidR="008024F6" w:rsidRDefault="0080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339" w:rsidRDefault="00C5133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5133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51339">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339" w:rsidRDefault="00C5133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4F6" w:rsidRDefault="008024F6">
      <w:r>
        <w:separator/>
      </w:r>
    </w:p>
  </w:footnote>
  <w:footnote w:type="continuationSeparator" w:id="0">
    <w:p w:rsidR="008024F6" w:rsidRDefault="00802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339" w:rsidRDefault="00C5133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4"/>
      <w:gridCol w:w="4848"/>
      <w:gridCol w:w="3473"/>
      <w:gridCol w:w="54"/>
    </w:tblGrid>
    <w:tr w:rsidR="00694556" w:rsidTr="000943F2">
      <w:trPr>
        <w:gridAfter w:val="1"/>
        <w:wAfter w:w="54" w:type="dxa"/>
        <w:trHeight w:hRule="exact" w:val="281"/>
        <w:jc w:val="center"/>
      </w:trPr>
      <w:sdt>
        <w:sdtPr>
          <w:rPr>
            <w:rFonts w:ascii="Tahoma" w:hAnsi="Tahoma"/>
            <w:color w:val="000080"/>
            <w:sz w:val="32"/>
            <w:szCs w:val="32"/>
            <w:rtl/>
          </w:rPr>
          <w:alias w:val="1174"/>
          <w:tag w:val="1174"/>
          <w:id w:val="-1585920285"/>
          <w:text w:multiLine="1"/>
        </w:sdtPr>
        <w:sdtEndPr/>
        <w:sdtContent>
          <w:tc>
            <w:tcPr>
              <w:tcW w:w="8375" w:type="dxa"/>
              <w:gridSpan w:val="3"/>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rsidTr="000943F2">
      <w:trPr>
        <w:gridBefore w:val="1"/>
        <w:wBefore w:w="54" w:type="dxa"/>
        <w:trHeight w:val="134"/>
        <w:jc w:val="center"/>
      </w:trPr>
      <w:tc>
        <w:tcPr>
          <w:tcW w:w="4848" w:type="dxa"/>
        </w:tcPr>
        <w:p w:rsidR="00694556" w:rsidRDefault="00694556">
          <w:pPr>
            <w:rPr>
              <w:b/>
              <w:bCs/>
              <w:noProof w:val="0"/>
              <w:sz w:val="26"/>
              <w:szCs w:val="26"/>
              <w:rtl/>
            </w:rPr>
          </w:pPr>
        </w:p>
      </w:tc>
      <w:tc>
        <w:tcPr>
          <w:tcW w:w="3527" w:type="dxa"/>
          <w:gridSpan w:val="2"/>
        </w:tcPr>
        <w:p w:rsidR="00694556" w:rsidRDefault="00694556">
          <w:pPr>
            <w:pStyle w:val="a3"/>
            <w:jc w:val="right"/>
            <w:rPr>
              <w:b/>
              <w:bCs/>
              <w:noProof w:val="0"/>
              <w:sz w:val="26"/>
              <w:szCs w:val="26"/>
              <w:rtl/>
            </w:rPr>
          </w:pPr>
        </w:p>
      </w:tc>
    </w:tr>
    <w:tr w:rsidR="00694556" w:rsidTr="000943F2">
      <w:trPr>
        <w:gridAfter w:val="1"/>
        <w:wAfter w:w="54" w:type="dxa"/>
        <w:trHeight w:val="134"/>
        <w:jc w:val="center"/>
      </w:trPr>
      <w:tc>
        <w:tcPr>
          <w:tcW w:w="8375" w:type="dxa"/>
          <w:gridSpan w:val="3"/>
        </w:tcPr>
        <w:p w:rsidR="007D45E3" w:rsidRPr="00A835E6" w:rsidRDefault="008024F6" w:rsidP="00283E2A">
          <w:pPr>
            <w:rPr>
              <w:b/>
              <w:bCs/>
              <w:noProof w:val="0"/>
              <w:sz w:val="26"/>
              <w:szCs w:val="26"/>
              <w:rtl/>
            </w:rPr>
          </w:pPr>
          <w:sdt>
            <w:sdtPr>
              <w:rPr>
                <w:sz w:val="26"/>
                <w:szCs w:val="26"/>
                <w:rtl/>
              </w:rPr>
              <w:alias w:val="1170"/>
              <w:tag w:val="1170"/>
              <w:id w:val="1066377040"/>
              <w:text w:multiLine="1"/>
            </w:sdtPr>
            <w:sdtEndPr/>
            <w:sdtContent>
              <w:r w:rsidR="00064651" w:rsidRPr="00A835E6">
                <w:rPr>
                  <w:b/>
                  <w:bCs/>
                  <w:noProof w:val="0"/>
                  <w:sz w:val="26"/>
                  <w:szCs w:val="26"/>
                  <w:rtl/>
                </w:rPr>
                <w:t>תלה"מ</w:t>
              </w:r>
            </w:sdtContent>
          </w:sdt>
          <w:r w:rsidR="00005C8B" w:rsidRPr="00A835E6">
            <w:rPr>
              <w:b/>
              <w:bCs/>
              <w:noProof w:val="0"/>
              <w:sz w:val="26"/>
              <w:szCs w:val="26"/>
              <w:rtl/>
            </w:rPr>
            <w:t xml:space="preserve"> </w:t>
          </w:r>
          <w:bookmarkStart w:id="1" w:name="_GoBack"/>
          <w:sdt>
            <w:sdtPr>
              <w:rPr>
                <w:sz w:val="26"/>
                <w:szCs w:val="26"/>
                <w:rtl/>
              </w:rPr>
              <w:alias w:val="1171"/>
              <w:tag w:val="1171"/>
              <w:id w:val="257034231"/>
              <w:text w:multiLine="1"/>
            </w:sdtPr>
            <w:sdtEndPr/>
            <w:sdtContent>
              <w:r w:rsidR="00064651" w:rsidRPr="00A835E6">
                <w:rPr>
                  <w:b/>
                  <w:bCs/>
                  <w:noProof w:val="0"/>
                  <w:sz w:val="26"/>
                  <w:szCs w:val="26"/>
                  <w:rtl/>
                </w:rPr>
                <w:t>19283-12-23</w:t>
              </w:r>
            </w:sdtContent>
          </w:sdt>
          <w:bookmarkEnd w:id="1"/>
          <w:r w:rsidR="00005C8B" w:rsidRPr="00A835E6">
            <w:rPr>
              <w:b/>
              <w:bCs/>
              <w:noProof w:val="0"/>
              <w:sz w:val="26"/>
              <w:szCs w:val="26"/>
              <w:rtl/>
            </w:rPr>
            <w:t xml:space="preserve"> </w:t>
          </w:r>
          <w:sdt>
            <w:sdtPr>
              <w:rPr>
                <w:b/>
                <w:bCs/>
                <w:sz w:val="26"/>
                <w:szCs w:val="26"/>
                <w:rtl/>
              </w:rPr>
              <w:alias w:val="1172"/>
              <w:tag w:val="1172"/>
              <w:id w:val="-595170033"/>
              <w:text w:multiLine="1"/>
            </w:sdtPr>
            <w:sdtEndPr/>
            <w:sdtContent>
              <w:r w:rsidR="00283E2A">
                <w:rPr>
                  <w:rFonts w:hint="cs"/>
                  <w:b/>
                  <w:bCs/>
                  <w:noProof w:val="0"/>
                  <w:sz w:val="26"/>
                  <w:szCs w:val="26"/>
                  <w:rtl/>
                </w:rPr>
                <w:t>פלונית</w:t>
              </w:r>
              <w:r w:rsidR="00064651" w:rsidRPr="00A835E6">
                <w:rPr>
                  <w:b/>
                  <w:bCs/>
                  <w:noProof w:val="0"/>
                  <w:sz w:val="26"/>
                  <w:szCs w:val="26"/>
                  <w:rtl/>
                </w:rPr>
                <w:t xml:space="preserve"> נ' </w:t>
              </w:r>
              <w:r w:rsidR="00283E2A">
                <w:rPr>
                  <w:rFonts w:hint="cs"/>
                  <w:b/>
                  <w:bCs/>
                  <w:noProof w:val="0"/>
                  <w:sz w:val="26"/>
                  <w:szCs w:val="26"/>
                  <w:rtl/>
                </w:rPr>
                <w:t>פלוני</w:t>
              </w:r>
              <w:r w:rsidR="00A835E6" w:rsidRPr="00A835E6">
                <w:rPr>
                  <w:b/>
                  <w:bCs/>
                  <w:noProof w:val="0"/>
                  <w:sz w:val="26"/>
                  <w:szCs w:val="26"/>
                  <w:rtl/>
                </w:rPr>
                <w:br/>
              </w:r>
              <w:r w:rsidR="00A835E6" w:rsidRPr="00A835E6">
                <w:rPr>
                  <w:rFonts w:hint="cs"/>
                  <w:b/>
                  <w:bCs/>
                  <w:sz w:val="26"/>
                  <w:szCs w:val="26"/>
                  <w:rtl/>
                </w:rPr>
                <w:t xml:space="preserve">תלה"מ 17610-12-23 </w:t>
              </w:r>
              <w:r w:rsidR="00283E2A">
                <w:rPr>
                  <w:rFonts w:hint="cs"/>
                  <w:b/>
                  <w:bCs/>
                  <w:sz w:val="26"/>
                  <w:szCs w:val="26"/>
                  <w:rtl/>
                </w:rPr>
                <w:t>פלונית</w:t>
              </w:r>
              <w:r w:rsidR="00A835E6" w:rsidRPr="00A835E6">
                <w:rPr>
                  <w:rFonts w:hint="cs"/>
                  <w:b/>
                  <w:bCs/>
                  <w:sz w:val="26"/>
                  <w:szCs w:val="26"/>
                  <w:rtl/>
                </w:rPr>
                <w:t xml:space="preserve"> נ' </w:t>
              </w:r>
              <w:r w:rsidR="00283E2A">
                <w:rPr>
                  <w:rFonts w:hint="cs"/>
                  <w:b/>
                  <w:bCs/>
                  <w:sz w:val="26"/>
                  <w:szCs w:val="26"/>
                  <w:rtl/>
                </w:rPr>
                <w:t>פלוני</w:t>
              </w:r>
              <w:r w:rsidR="00A835E6" w:rsidRPr="00A835E6">
                <w:rPr>
                  <w:b/>
                  <w:bCs/>
                  <w:sz w:val="26"/>
                  <w:szCs w:val="26"/>
                  <w:rtl/>
                </w:rPr>
                <w:br/>
              </w:r>
              <w:r w:rsidR="00A835E6" w:rsidRPr="00A835E6">
                <w:rPr>
                  <w:rFonts w:hint="cs"/>
                  <w:b/>
                  <w:bCs/>
                  <w:sz w:val="26"/>
                  <w:szCs w:val="26"/>
                  <w:rtl/>
                </w:rPr>
                <w:t xml:space="preserve">תמ"ש 56895-03-24 </w:t>
              </w:r>
              <w:r w:rsidR="00283E2A">
                <w:rPr>
                  <w:rFonts w:hint="cs"/>
                  <w:b/>
                  <w:bCs/>
                  <w:sz w:val="26"/>
                  <w:szCs w:val="26"/>
                  <w:rtl/>
                </w:rPr>
                <w:t>פלוני</w:t>
              </w:r>
              <w:r w:rsidR="00A835E6" w:rsidRPr="00A835E6">
                <w:rPr>
                  <w:rFonts w:hint="cs"/>
                  <w:b/>
                  <w:bCs/>
                  <w:sz w:val="26"/>
                  <w:szCs w:val="26"/>
                  <w:rtl/>
                </w:rPr>
                <w:t xml:space="preserve"> נ' </w:t>
              </w:r>
              <w:r w:rsidR="00283E2A">
                <w:rPr>
                  <w:rFonts w:hint="cs"/>
                  <w:b/>
                  <w:bCs/>
                  <w:sz w:val="26"/>
                  <w:szCs w:val="26"/>
                  <w:rtl/>
                </w:rPr>
                <w:t>פלונית</w:t>
              </w:r>
            </w:sdtContent>
          </w:sdt>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339" w:rsidRDefault="00C513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75D7D"/>
    <w:multiLevelType w:val="hybridMultilevel"/>
    <w:tmpl w:val="B0AC2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526651"/>
    <w:multiLevelType w:val="hybridMultilevel"/>
    <w:tmpl w:val="4E66218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162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16221&amp;lt;/CaseID&amp;gt;_x000d__x000a_        &amp;lt;CaseMonth&amp;gt;12&amp;lt;/CaseMonth&amp;gt;_x000d__x000a_        &amp;lt;CaseYear&amp;gt;2023&amp;lt;/CaseYear&amp;gt;_x000d__x000a_        &amp;lt;CaseNumber&amp;gt;19283&amp;lt;/CaseNumber&amp;gt;_x000d__x000a_        &amp;lt;NumeratorGroupID&amp;gt;1&amp;lt;/NumeratorGroupID&amp;gt;_x000d__x000a_        &amp;lt;CaseName&amp;gt;חיימוב נ&amp;#39; חיימוב&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283-12-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2-10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16221&amp;lt;/CaseID&amp;gt;_x000d__x000a_        &amp;lt;CaseMonth&amp;gt;12&amp;lt;/CaseMonth&amp;gt;_x000d__x000a_        &amp;lt;CaseYear&amp;gt;2023&amp;lt;/CaseYear&amp;gt;_x000d__x000a_        &amp;lt;CaseNumber&amp;gt;19283&amp;lt;/CaseNumber&amp;gt;_x000d__x000a_        &amp;lt;NumeratorGroupID&amp;gt;1&amp;lt;/NumeratorGroupID&amp;gt;_x000d__x000a_        &amp;lt;CaseName&amp;gt;חיימוב נ&amp;#39; חיימוב&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283-12-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12-10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27622&amp;lt;/DecisionID&amp;gt;_x000d__x000a_        &amp;lt;DecisionName&amp;gt;החלטה  שניתנה ע&amp;quot;י  רותם קודלר עיאש&amp;lt;/DecisionName&amp;gt;_x000d__x000a_        &amp;lt;DecisionStatusID&amp;gt;1&amp;lt;/DecisionStatusID&amp;gt;_x000d__x000a_        &amp;lt;DecisionStatusChangeDate&amp;gt;2024-05-05T11:33:49.177+03:00&amp;lt;/DecisionStatusChangeDate&amp;gt;_x000d__x000a_        &amp;lt;DecisionSignatureDate&amp;gt;2024-05-05T09:21:31.32+03:00&amp;lt;/DecisionSignatureDate&amp;gt;_x000d__x000a_        &amp;lt;DecisionSignatureUserID&amp;gt;025596065@GOV.IL&amp;lt;/DecisionSignatureUserID&amp;gt;_x000d__x000a_        &amp;lt;DecisionCreateDate&amp;gt;2024-05-05T09:26:54.81+03:00&amp;lt;/DecisionCreateDate&amp;gt;_x000d__x000a_        &amp;lt;DecisionChangeDate&amp;gt;2024-05-05T11:33:49.74+03: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19401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DecisionDisplayName&amp;gt;החלטה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1427622&amp;lt;/DecisionID&amp;gt;_x000d__x000a_        &amp;lt;CaseID&amp;gt;80816221&amp;lt;/CaseID&amp;gt;_x000d__x000a_        &amp;lt;IsOriginal&amp;gt;true&amp;lt;/IsOriginal&amp;gt;_x000d__x000a_        &amp;lt;IsDeleted&amp;gt;false&amp;lt;/IsDeleted&amp;gt;_x000d__x000a_        &amp;lt;CaseName&amp;gt;חיימוב נ&amp;#39; חיימוב&amp;lt;/CaseName&amp;gt;_x000d__x000a_        &amp;lt;CaseDisplayIdentifier&amp;gt;19283-12-23 תלה&amp;quot;מ&amp;lt;/CaseDisplayIdentifier&amp;gt;_x000d__x000a_      &amp;lt;/dt_DecisionCase&amp;gt;_x000d__x000a_    &amp;lt;/DecisionDS&amp;gt;_x000d__x000a_  &amp;lt;/diffgr:diffgram&amp;gt;_x000d__x000a_&amp;lt;/DecisionDS&amp;gt;"/>
    <w:docVar w:name="DecisionID" w:val="151427622"/>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43F2"/>
    <w:rsid w:val="00096AF7"/>
    <w:rsid w:val="000B344B"/>
    <w:rsid w:val="000C3B0F"/>
    <w:rsid w:val="000C3B60"/>
    <w:rsid w:val="000E0DD2"/>
    <w:rsid w:val="000E3AF1"/>
    <w:rsid w:val="000F0BC8"/>
    <w:rsid w:val="000F0DD6"/>
    <w:rsid w:val="00107E6D"/>
    <w:rsid w:val="0011194C"/>
    <w:rsid w:val="0011424C"/>
    <w:rsid w:val="001173C6"/>
    <w:rsid w:val="001350F6"/>
    <w:rsid w:val="001367BC"/>
    <w:rsid w:val="00144D2A"/>
    <w:rsid w:val="0014653E"/>
    <w:rsid w:val="00180519"/>
    <w:rsid w:val="00191C82"/>
    <w:rsid w:val="001C4003"/>
    <w:rsid w:val="001D4DBF"/>
    <w:rsid w:val="001E75CA"/>
    <w:rsid w:val="002265FF"/>
    <w:rsid w:val="00234943"/>
    <w:rsid w:val="0024645E"/>
    <w:rsid w:val="00271B56"/>
    <w:rsid w:val="00283E2A"/>
    <w:rsid w:val="0028443A"/>
    <w:rsid w:val="002A61F5"/>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1E02"/>
    <w:rsid w:val="003A4521"/>
    <w:rsid w:val="003D1C8C"/>
    <w:rsid w:val="0040096C"/>
    <w:rsid w:val="00411DD3"/>
    <w:rsid w:val="00414F1F"/>
    <w:rsid w:val="00422769"/>
    <w:rsid w:val="0043125D"/>
    <w:rsid w:val="0043502B"/>
    <w:rsid w:val="004443AC"/>
    <w:rsid w:val="00444B02"/>
    <w:rsid w:val="00451E28"/>
    <w:rsid w:val="00462610"/>
    <w:rsid w:val="00462C62"/>
    <w:rsid w:val="00465D36"/>
    <w:rsid w:val="00494646"/>
    <w:rsid w:val="004C17EE"/>
    <w:rsid w:val="004C4BDF"/>
    <w:rsid w:val="004D1187"/>
    <w:rsid w:val="004D3AA0"/>
    <w:rsid w:val="004E1987"/>
    <w:rsid w:val="004E2E15"/>
    <w:rsid w:val="004E6E3C"/>
    <w:rsid w:val="0050307B"/>
    <w:rsid w:val="00514BD6"/>
    <w:rsid w:val="00520898"/>
    <w:rsid w:val="00523621"/>
    <w:rsid w:val="00524986"/>
    <w:rsid w:val="005268F6"/>
    <w:rsid w:val="00534284"/>
    <w:rsid w:val="00547DB7"/>
    <w:rsid w:val="00562EB5"/>
    <w:rsid w:val="00563279"/>
    <w:rsid w:val="005F4F09"/>
    <w:rsid w:val="006017E9"/>
    <w:rsid w:val="00603092"/>
    <w:rsid w:val="0061431B"/>
    <w:rsid w:val="00622BAA"/>
    <w:rsid w:val="006306CF"/>
    <w:rsid w:val="006404B4"/>
    <w:rsid w:val="00644E9A"/>
    <w:rsid w:val="00671BD5"/>
    <w:rsid w:val="006733B4"/>
    <w:rsid w:val="006805C1"/>
    <w:rsid w:val="00686C21"/>
    <w:rsid w:val="006931C1"/>
    <w:rsid w:val="00694556"/>
    <w:rsid w:val="006C30C5"/>
    <w:rsid w:val="006C4820"/>
    <w:rsid w:val="006D3B31"/>
    <w:rsid w:val="006E0D96"/>
    <w:rsid w:val="006E1A53"/>
    <w:rsid w:val="006E43F5"/>
    <w:rsid w:val="006F56E6"/>
    <w:rsid w:val="00704EDA"/>
    <w:rsid w:val="00721122"/>
    <w:rsid w:val="00753019"/>
    <w:rsid w:val="00754801"/>
    <w:rsid w:val="0075561C"/>
    <w:rsid w:val="00761441"/>
    <w:rsid w:val="0078606E"/>
    <w:rsid w:val="00792313"/>
    <w:rsid w:val="00795365"/>
    <w:rsid w:val="007A351D"/>
    <w:rsid w:val="007B7765"/>
    <w:rsid w:val="007C5BDD"/>
    <w:rsid w:val="007D45E3"/>
    <w:rsid w:val="007E6115"/>
    <w:rsid w:val="007F4609"/>
    <w:rsid w:val="008024F6"/>
    <w:rsid w:val="00804016"/>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2BA1"/>
    <w:rsid w:val="0094424E"/>
    <w:rsid w:val="00955642"/>
    <w:rsid w:val="009622DF"/>
    <w:rsid w:val="0096493F"/>
    <w:rsid w:val="00967DFF"/>
    <w:rsid w:val="00994341"/>
    <w:rsid w:val="00996935"/>
    <w:rsid w:val="009D1A48"/>
    <w:rsid w:val="009E1CE7"/>
    <w:rsid w:val="009E4EA5"/>
    <w:rsid w:val="009F164B"/>
    <w:rsid w:val="009F323C"/>
    <w:rsid w:val="00A3392B"/>
    <w:rsid w:val="00A835E6"/>
    <w:rsid w:val="00A85E34"/>
    <w:rsid w:val="00A86FF0"/>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559AD"/>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1339"/>
    <w:rsid w:val="00C642FA"/>
    <w:rsid w:val="00CC7622"/>
    <w:rsid w:val="00CD608F"/>
    <w:rsid w:val="00CD6E2A"/>
    <w:rsid w:val="00CF6BB7"/>
    <w:rsid w:val="00D04AA4"/>
    <w:rsid w:val="00D27982"/>
    <w:rsid w:val="00D33B86"/>
    <w:rsid w:val="00D44968"/>
    <w:rsid w:val="00D53924"/>
    <w:rsid w:val="00D55D0C"/>
    <w:rsid w:val="00D96D8C"/>
    <w:rsid w:val="00DA6649"/>
    <w:rsid w:val="00DC1259"/>
    <w:rsid w:val="00DC1BD2"/>
    <w:rsid w:val="00DC2571"/>
    <w:rsid w:val="00DC487C"/>
    <w:rsid w:val="00DD5E6D"/>
    <w:rsid w:val="00DE1E7D"/>
    <w:rsid w:val="00DE6BF6"/>
    <w:rsid w:val="00E04E84"/>
    <w:rsid w:val="00E1068A"/>
    <w:rsid w:val="00E25884"/>
    <w:rsid w:val="00E25B55"/>
    <w:rsid w:val="00E31C2B"/>
    <w:rsid w:val="00E501B6"/>
    <w:rsid w:val="00E5426A"/>
    <w:rsid w:val="00E54642"/>
    <w:rsid w:val="00E54CD9"/>
    <w:rsid w:val="00E56DAF"/>
    <w:rsid w:val="00E80CBE"/>
    <w:rsid w:val="00E962E3"/>
    <w:rsid w:val="00EB6C79"/>
    <w:rsid w:val="00EC37E9"/>
    <w:rsid w:val="00F038D8"/>
    <w:rsid w:val="00F06995"/>
    <w:rsid w:val="00F12DA0"/>
    <w:rsid w:val="00F13623"/>
    <w:rsid w:val="00F33765"/>
    <w:rsid w:val="00F44D1D"/>
    <w:rsid w:val="00F74D63"/>
    <w:rsid w:val="00F84B6D"/>
    <w:rsid w:val="00F957E8"/>
    <w:rsid w:val="00FA311A"/>
    <w:rsid w:val="00FA5FDA"/>
    <w:rsid w:val="00FB6AB3"/>
    <w:rsid w:val="00FD1419"/>
    <w:rsid w:val="00FD79E4"/>
    <w:rsid w:val="00FE04E1"/>
    <w:rsid w:val="00FE2818"/>
    <w:rsid w:val="00FE2894"/>
    <w:rsid w:val="00FF5C0B"/>
    <w:rsid w:val="00FF63A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835E6"/>
    <w:pPr>
      <w:ind w:left="720"/>
      <w:contextualSpacing/>
    </w:pPr>
  </w:style>
  <w:style w:type="character" w:styleId="Hyperlink">
    <w:name w:val="Hyperlink"/>
    <w:basedOn w:val="a0"/>
    <w:uiPriority w:val="99"/>
    <w:semiHidden/>
    <w:unhideWhenUsed/>
    <w:rsid w:val="006733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990122">
      <w:bodyDiv w:val="1"/>
      <w:marLeft w:val="0"/>
      <w:marRight w:val="0"/>
      <w:marTop w:val="0"/>
      <w:marBottom w:val="0"/>
      <w:divBdr>
        <w:top w:val="none" w:sz="0" w:space="0" w:color="auto"/>
        <w:left w:val="none" w:sz="0" w:space="0" w:color="auto"/>
        <w:bottom w:val="none" w:sz="0" w:space="0" w:color="auto"/>
        <w:right w:val="none" w:sz="0" w:space="0" w:color="auto"/>
      </w:divBdr>
    </w:div>
    <w:div w:id="96438856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974363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07443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352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30304"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case/5698872"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law/98460"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4625572"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98460/6" TargetMode="External"/><Relationship Id="rId23" Type="http://schemas.openxmlformats.org/officeDocument/2006/relationships/footer" Target="footer3.xml"/><Relationship Id="rId10" Type="http://schemas.openxmlformats.org/officeDocument/2006/relationships/hyperlink" Target="http://www.nevo.co.il/case/20160036"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0850598"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0775E" w:rsidP="0090775E">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92A43"/>
    <w:rsid w:val="002A56A9"/>
    <w:rsid w:val="002D02C4"/>
    <w:rsid w:val="00345C9D"/>
    <w:rsid w:val="00405FEA"/>
    <w:rsid w:val="004745AE"/>
    <w:rsid w:val="0048651F"/>
    <w:rsid w:val="005157ED"/>
    <w:rsid w:val="005163AE"/>
    <w:rsid w:val="00556D67"/>
    <w:rsid w:val="00746837"/>
    <w:rsid w:val="007908B9"/>
    <w:rsid w:val="00793995"/>
    <w:rsid w:val="007C6F98"/>
    <w:rsid w:val="007E254A"/>
    <w:rsid w:val="0086433F"/>
    <w:rsid w:val="008B4366"/>
    <w:rsid w:val="0090775E"/>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0775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חמדה הילה בנימיני</FullName>
        <FirstName>חמדה הילה</FirstName>
        <LastName>בנימיני</LastName>
        <PartyPropertyName/>
        <AuthenticationTypeAndNumber>מ.ר. 48729</AuthenticationTypeAndNumber>
        <RepresentatedOrRepresentativesNames>מריק חיימוב</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265359902</CasePartyID>
        <PartyTypeID>2</PartyTypeID>
        <ActivityStatusID>1</ActivityStatusID>
        <PartyAliasID>21</PartyAliasID>
        <PartyAliasName>בא כוח נתבעים</PartyAliasName>
        <LegalEntityID>7565818</LegalEntityID>
        <CaseLegalEntityID>127478643</CaseLegalEntityID>
        <AuthenticationTypeID>4</AuthenticationTypeID>
        <AuthenticationTypeName>מ.ר.</AuthenticationTypeName>
        <LegalEntityNumber>48729</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אליעזר בן יהודה 14/2 חולון </FullAddress>
        <EmailAddress>hemda_d@walla.com</EmailAddress>
        <MotionID>0</MotionID>
        <CasePleaID>0</CasePleaID>
        <LinkedCaseID>0</LinkedCaseID>
        <PartyID>2</PartyID>
        <CasePartyCategoryID>2</CasePartyCategoryID>
        <LegalEntityAddressID>82567126</LegalEntityAddressID>
        <LegalEntityEmailAddressID>67838225</LegalEntityEmailAddressID>
        <PleaTypeID>4</PleaTypeID>
        <LawyerOfficeName>משרד עו"ד חמדה הילה בנימיני</LawyerOfficeName>
        <LawyerOfficeID>7565819</LawyerOfficeID>
        <GroupPartyAlias/>
        <IsConverted>false</IsConverted>
        <LegalEntityNameID>7234778</LegalEntityNameID>
        <RepresentatedNamesOfAssistant/>
        <LegalEntityTypeID>4</LegalEntityTypeID>
        <IsVerdictExists>false</IsVerdictExists>
        <IsAsirAzir>false</IsAsirAzir>
        <IsPublicationProhibited>false</IsPublicationProhibited>
        <PublicationProhibitedFullName>חמדה הילה בנימיני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נטלה חיימוב</FullName>
        <FirstName>נטלה</FirstName>
        <LastName>חיימוב</LastName>
        <PartyPropertyName/>
        <AuthenticationTypeAndNumber>ת"ז 311846265</AuthenticationTypeAndNumber>
        <RepresentatedOrRepresentativesNames>מירב יהושוע</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263486843</CasePartyID>
        <PartyTypeID>1</PartyTypeID>
        <ActivityStatusID>1</ActivityStatusID>
        <PartyAliasID>1</PartyAliasID>
        <PartyAliasName>תובע</PartyAliasName>
        <OrdinalNumber>1</OrdinalNumber>
        <LegalEntityID>81247627</LegalEntityID>
        <CaseLegalEntityID>126925420</CaseLegalEntityID>
        <AuthenticationTypeID>1</AuthenticationTypeID>
        <AuthenticationTypeName>ת"ז</AuthenticationTypeName>
        <LegalEntityNumber>311846265</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חסוי  יצאה ממקלט לנשיםנפגעות אלימות</FullAddress>
        <MotionID>0</MotionID>
        <CasePleaID>0</CasePleaID>
        <FatherName>יוסף</FatherName>
        <LinkedCaseID>0</LinkedCaseID>
        <PartyID>1</PartyID>
        <CasePartyCategoryID>2</CasePartyCategoryID>
        <LegalEntityAddressID>88700600</LegalEntityAddressID>
        <PleaTypeID>4</PleaTypeID>
        <GroupPartyAlias>תובעים</GroupPartyAlias>
        <IsConverted>false</IsConverted>
        <LegalEntityRegisteredNameID>10362663</LegalEntityRegisteredNameID>
        <LegalEntityNameID>95831393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נטלה חיימוב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מירב יהושוע</FullName>
        <FirstName>מירב</FirstName>
        <LastName>יהושוע</LastName>
        <PartyPropertyName/>
        <AuthenticationTypeAndNumber>מ.ר. 57978</AuthenticationTypeAndNumber>
        <RepresentatedOrRepresentativesNames>נטלה חיימוב</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263486844</CasePartyID>
        <PartyTypeID>2</PartyTypeID>
        <ActivityStatusID>1</ActivityStatusID>
        <PartyAliasID>20</PartyAliasID>
        <PartyAliasName>בא כוח תובעים</PartyAliasName>
        <OrdinalNumber>1</OrdinalNumber>
        <LegalEntityID>71266401</LegalEntityID>
        <CaseLegalEntityID>126925421</CaseLegalEntityID>
        <AuthenticationTypeID>4</AuthenticationTypeID>
        <AuthenticationTypeName>מ.ר.</AuthenticationTypeName>
        <LegalEntityNumber>57978</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חטיבת הנגב 28 באר שבע </FullAddress>
        <EmailAddress>meravy.law@gmail.com</EmailAddress>
        <MotionID>0</MotionID>
        <CasePleaID>0</CasePleaID>
        <LinkedCaseID>0</LinkedCaseID>
        <PartyID>1</PartyID>
        <CasePartyCategoryID>2</CasePartyCategoryID>
        <LegalEntityAddressID>75682015</LegalEntityAddressID>
        <LegalEntityEmailAddressID>67920063</LegalEntityEmailAddressID>
        <PleaTypeID>4</PleaTypeID>
        <LawyerOfficeName>משרד עו"ד מירב יהושוע</LawyerOfficeName>
        <LawyerOfficeID>71266402</LawyerOfficeID>
        <GroupPartyAlias/>
        <IsConverted>false</IsConverted>
        <LegalEntityNameID>78051995</LegalEntityNameID>
        <RepresentatedNamesOfAssistant/>
        <LegalEntityTypeID>4</LegalEntityTypeID>
        <IsVerdictExists>false</IsVerdictExists>
        <IsAsirAzir>false</IsAsirAzir>
        <IsPublicationProhibited>false</IsPublicationProhibited>
        <PublicationProhibitedFullName>מירב יהושוע</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מריק חיימוב</FullName>
        <FirstName>מריק</FirstName>
        <LastName>חיימוב</LastName>
        <PartyPropertyName/>
        <AuthenticationTypeAndNumber>דרכון 11268161</AuthenticationTypeAndNumber>
        <RepresentatedOrRepresentativesNames>חמדה הילה בנימיני</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263486845</CasePartyID>
        <PartyTypeID>1</PartyTypeID>
        <ActivityStatusID>1</ActivityStatusID>
        <PartyAliasID>2</PartyAliasID>
        <PartyAliasName>נתבע</PartyAliasName>
        <OrdinalNumber>1</OrdinalNumber>
        <LegalEntityID>81264411</LegalEntityID>
        <CaseLegalEntityID>126925422</CaseLegalEntityID>
        <AuthenticationTypeID>2</AuthenticationTypeID>
        <AuthenticationTypeName>דרכון</AuthenticationTypeName>
        <LegalEntityNumber>11268161</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פורסט הילס 11375, 63 RD RD 108-29  ניו יורק ארצות הברית</FullAddress>
        <MotionID>0</MotionID>
        <CasePleaID>0</CasePleaID>
        <PassportCountryID>710</PassportCountryID>
        <FatherName/>
        <LinkedCaseID>0</LinkedCaseID>
        <PartyID>2</PartyID>
        <CasePartyCategoryID>2</CasePartyCategoryID>
        <LegalEntityAddressID>88700601</LegalEntityAddressID>
        <PleaTypeID>4</PleaTypeID>
        <GroupPartyAlias>נתבעים</GroupPartyAlias>
        <IsConverted>false</IsConverted>
        <LegalEntityNameID>95831394</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מריק חיימוב</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2024-05-05T09:21:31.3185806+03:00</DecisionSignatureDate>
    <OpenCaseDate>2023-12-10T07:00:00+02:00</OpenCaseDate>
    <CaseFeeSum>0.000</CaseFeeSum>
    <DecisionTypeID>1</DecisionTypeID>
    <DecisionSignatureUserName>רותם קודלר עיאש</DecisionSignatureUserName>
    <DecisionSignatureDateHebrew>2024-05-05T09:21:31.3185806+03:00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חיימוב נ' חיימוב</CaseName>
    <DecisionNumberInCase>14</DecisionNumberInCase>
  </dt_Decision>
  <dt_DecisionCase>
    <DecisionID>0</DecisionID>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חמדה הילה בנימיני</FullName>
        <FirstName>חמדה הילה</FirstName>
        <LastName>בנימיני</LastName>
        <PartyPropertyName/>
        <AuthenticationTypeAndNumber>מ.ר. 48729</AuthenticationTypeAndNumber>
        <RepresentatedOrRepresentativesNames>מריק חיימוב</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265359902</CasePartyID>
        <PartyTypeID>2</PartyTypeID>
        <ActivityStatusID>1</ActivityStatusID>
        <PartyAliasID>21</PartyAliasID>
        <PartyAliasName>בא כוח נתבעים</PartyAliasName>
        <LegalEntityID>7565818</LegalEntityID>
        <CaseLegalEntityID>127478643</CaseLegalEntityID>
        <AuthenticationTypeID>4</AuthenticationTypeID>
        <AuthenticationTypeName>מ.ר.</AuthenticationTypeName>
        <LegalEntityNumber>48729</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אליעזר בן יהודה 14/2 חולון </FullAddress>
        <EmailAddress>hemda_d@walla.com</EmailAddress>
        <MotionID>0</MotionID>
        <CasePleaID>0</CasePleaID>
        <LinkedCaseID>0</LinkedCaseID>
        <PartyID>2</PartyID>
        <CasePartyCategoryID>2</CasePartyCategoryID>
        <LegalEntityAddressID>82567126</LegalEntityAddressID>
        <LegalEntityEmailAddressID>67838225</LegalEntityEmailAddressID>
        <PleaTypeID>4</PleaTypeID>
        <LawyerOfficeName>משרד עו"ד חמדה הילה בנימיני</LawyerOfficeName>
        <LawyerOfficeID>7565819</LawyerOfficeID>
        <GroupPartyAlias/>
        <IsConverted>false</IsConverted>
        <LegalEntityNameID>7234778</LegalEntityNameID>
        <RepresentatedNamesOfAssistant/>
        <LegalEntityTypeID>4</LegalEntityTypeID>
        <IsVerdictExists>false</IsVerdictExists>
        <IsAsirAzir>false</IsAsirAzir>
        <IsPublicationProhibited>false</IsPublicationProhibited>
        <PublicationProhibitedFullName>חמדה הילה בנימיני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נטלה חיימוב</FullName>
        <FirstName>נטלה</FirstName>
        <LastName>חיימוב</LastName>
        <PartyPropertyName/>
        <AuthenticationTypeAndNumber>ת"ז 311846265</AuthenticationTypeAndNumber>
        <RepresentatedOrRepresentativesNames>מירב יהושוע</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263486843</CasePartyID>
        <PartyTypeID>1</PartyTypeID>
        <ActivityStatusID>1</ActivityStatusID>
        <PartyAliasID>1</PartyAliasID>
        <PartyAliasName>תובע</PartyAliasName>
        <OrdinalNumber>1</OrdinalNumber>
        <LegalEntityID>81247627</LegalEntityID>
        <CaseLegalEntityID>126925420</CaseLegalEntityID>
        <AuthenticationTypeID>1</AuthenticationTypeID>
        <AuthenticationTypeName>ת"ז</AuthenticationTypeName>
        <LegalEntityNumber>311846265</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חסוי  יצאה ממקלט לנשיםנפגעות אלימות</FullAddress>
        <MotionID>0</MotionID>
        <CasePleaID>0</CasePleaID>
        <FatherName>יוסף</FatherName>
        <LinkedCaseID>0</LinkedCaseID>
        <PartyID>1</PartyID>
        <CasePartyCategoryID>2</CasePartyCategoryID>
        <LegalEntityAddressID>88700600</LegalEntityAddressID>
        <PleaTypeID>4</PleaTypeID>
        <GroupPartyAlias>תובעים</GroupPartyAlias>
        <IsConverted>false</IsConverted>
        <LegalEntityRegisteredNameID>10362663</LegalEntityRegisteredNameID>
        <LegalEntityNameID>95831393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נטלה חיימוב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מירב יהושוע</FullName>
        <FirstName>מירב</FirstName>
        <LastName>יהושוע</LastName>
        <PartyPropertyName/>
        <AuthenticationTypeAndNumber>מ.ר. 57978</AuthenticationTypeAndNumber>
        <RepresentatedOrRepresentativesNames>נטלה חיימוב</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263486844</CasePartyID>
        <PartyTypeID>2</PartyTypeID>
        <ActivityStatusID>1</ActivityStatusID>
        <PartyAliasID>20</PartyAliasID>
        <PartyAliasName>בא כוח תובעים</PartyAliasName>
        <OrdinalNumber>1</OrdinalNumber>
        <LegalEntityID>71266401</LegalEntityID>
        <CaseLegalEntityID>126925421</CaseLegalEntityID>
        <AuthenticationTypeID>4</AuthenticationTypeID>
        <AuthenticationTypeName>מ.ר.</AuthenticationTypeName>
        <LegalEntityNumber>57978</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חטיבת הנגב 28 באר שבע </FullAddress>
        <EmailAddress>meravy.law@gmail.com</EmailAddress>
        <MotionID>0</MotionID>
        <CasePleaID>0</CasePleaID>
        <LinkedCaseID>0</LinkedCaseID>
        <PartyID>1</PartyID>
        <CasePartyCategoryID>2</CasePartyCategoryID>
        <LegalEntityAddressID>75682015</LegalEntityAddressID>
        <LegalEntityEmailAddressID>67920063</LegalEntityEmailAddressID>
        <PleaTypeID>4</PleaTypeID>
        <LawyerOfficeName>משרד עו"ד מירב יהושוע</LawyerOfficeName>
        <LawyerOfficeID>71266402</LawyerOfficeID>
        <GroupPartyAlias/>
        <IsConverted>false</IsConverted>
        <LegalEntityNameID>78051995</LegalEntityNameID>
        <RepresentatedNamesOfAssistant/>
        <LegalEntityTypeID>4</LegalEntityTypeID>
        <IsVerdictExists>false</IsVerdictExists>
        <IsAsirAzir>false</IsAsirAzir>
        <IsPublicationProhibited>false</IsPublicationProhibited>
        <PublicationProhibitedFullName>מירב יהושוע</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מריק חיימוב</FullName>
        <FirstName>מריק</FirstName>
        <LastName>חיימוב</LastName>
        <PartyPropertyName/>
        <AuthenticationTypeAndNumber>דרכון 11268161</AuthenticationTypeAndNumber>
        <RepresentatedOrRepresentativesNames>חמדה הילה בנימיני</RepresentatedOrRepresentativesNames>
        <RepresentatedOrRepresentativesCount>1</RepresentatedOrRepresentativesCount>
        <InvitedBy/>
        <CaseID>80816221</CaseID>
        <CaseJudicialPersonPresentationDS>
          <CaseJudicalPersonActive>
            <CaseID>80816221</CaseID>
            <JudicialPersonID>025596065@GOV.IL</JudicialPersonID>
            <JudicialPersonTypeID>1</JudicialPersonTypeID>
            <JudicialTypeID>1</JudicialTypeID>
            <IsChairman>false</IsChairman>
            <TreatmentStartDate>2023-12-10T18:06:56.563+02:00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263486845</CasePartyID>
        <PartyTypeID>1</PartyTypeID>
        <ActivityStatusID>1</ActivityStatusID>
        <PartyAliasID>2</PartyAliasID>
        <PartyAliasName>נתבע</PartyAliasName>
        <OrdinalNumber>1</OrdinalNumber>
        <LegalEntityID>81264411</LegalEntityID>
        <CaseLegalEntityID>126925422</CaseLegalEntityID>
        <AuthenticationTypeID>2</AuthenticationTypeID>
        <AuthenticationTypeName>דרכון</AuthenticationTypeName>
        <LegalEntityNumber>11268161</LegalEntityNumber>
        <IsMainPartyType>true</IsMainPartyType>
        <CaseDisplayIdentifier>19283-12-23</CaseDisplayIdentifier>
        <CaseTypeID>10262</CaseTypeID>
        <CaseTypeName>תביעה לאחר הסדר התדיינויות במשפחה (תלה"מ)</CaseTypeName>
        <CaseName>חיימוב נ' חיימוב</CaseName>
        <FullAddress>פורסט הילס 11375, 63 RD RD 108-29  ניו יורק ארצות הברית</FullAddress>
        <MotionID>0</MotionID>
        <CasePleaID>0</CasePleaID>
        <PassportCountryID>710</PassportCountryID>
        <FatherName/>
        <LinkedCaseID>0</LinkedCaseID>
        <PartyID>2</PartyID>
        <CasePartyCategoryID>2</CasePartyCategoryID>
        <LegalEntityAddressID>88700601</LegalEntityAddressID>
        <PleaTypeID>4</PleaTypeID>
        <GroupPartyAlias>נתבעים</GroupPartyAlias>
        <IsConverted>false</IsConverted>
        <LegalEntityNameID>95831394</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מריק חיימוב</PublicationProhibitedFullName>
      </CaseParties>
    </CasePartiesSelectionDS>
    <CaseName>חיימוב נ' חיימוב</CaseName>
    <CaseDisplayIdentifier>19283-12-23</CaseDisplayIdentifier>
    <CaseInterestID>10118</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03-5730990</Fax>
    <Phone>03-6521364</Phone>
    <PartyID>2</PartyID>
    <PartyTypeID>2</PartyTypeID>
    <DecisionID>0</DecisionID>
    <StreetName>אליעזר בן יהודה 14/2</StreetName>
    <CityName>חולון</CityName>
    <FullName>חמדה הילה בנימיני</FullName>
    <Email>hemda_d@walla.com</Email>
    <IsPublicationProhibited>false</IsPublicationProhibited>
  </dt_LegalEntityDetails>
  <dt_LegalEntityDetails>
    <AddressDesc>יצאה ממקלט לנשיםנפגעות אלימות </AddressDesc>
    <PartyID>1</PartyID>
    <PartyTypeID>1</PartyTypeID>
    <DecisionID>0</DecisionID>
    <StreetName>חסוי</StreetName>
    <FullName>נטלה חיימוב</FullName>
    <IsPublicationProhibited>false</IsPublicationProhibited>
  </dt_LegalEntityDetails>
  <dt_LegalEntityDetails>
    <Fax>08-9567860</Fax>
    <Phone>08-9567857</Phone>
    <PartyID>1</PartyID>
    <PartyTypeID>2</PartyTypeID>
    <DecisionID>0</DecisionID>
    <StreetName>חטיבת הנגב 28</StreetName>
    <CityName>באר שבע</CityName>
    <FullName>מירב יהושוע</FullName>
    <Email>meravy.law@gmail.com</Email>
    <IsPublicationProhibited>false</IsPublicationProhibited>
  </dt_LegalEntityDetails>
  <dt_LegalEntityDetails>
    <AddressDesc>ניו יורק ארצות הברית</AddressDesc>
    <PartyID>2</PartyID>
    <PartyTypeID>1</PartyTypeID>
    <DecisionID>0</DecisionID>
    <StreetName>פורסט הילס 11375, 63 RD RD 108-29</StreetName>
    <FullName>מריק חיימוב</FullName>
    <IsPublicationProhibited>false</IsPublicationProhibited>
  </dt_LegalEntityDetails>
  <dt_CaseJudicalPersonActive>
    <CaseJudicalPerson>שופטת, סגנית הנשיא רותם קודלר עיאש</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E2C9A-ED42-4034-B5C5-5DB5482ADF67}">
  <ds:schemaRefs/>
</ds:datastoreItem>
</file>

<file path=customXml/itemProps2.xml><?xml version="1.0" encoding="utf-8"?>
<ds:datastoreItem xmlns:ds="http://schemas.openxmlformats.org/officeDocument/2006/customXml" ds:itemID="{D78389EC-D20C-4977-9EDC-BC49E587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1566</Words>
  <Characters>7832</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2024-06-23T12:08:00Z</dcterms:created>
  <dcterms:modified xsi:type="dcterms:W3CDTF">2024-06-23T12:08:00Z</dcterms:modified>
</cp:coreProperties>
</file>